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樟树市2022年政府信息公开工作年度报告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樟树市人民政府办公室结合樟树市人民政府网站、樟树市政府信息公开平台等有关统计数据编制。本年度报告中所列数据的统计期限自2022年1月1日起至2022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人民政府办公室联系：</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地址：江西省樟树市药都南大道25号政府办公大楼323室</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邮编：331200</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电话：0795-7333129</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电子邮箱：jxzsxx@yichun.gov.cn</w:t>
      </w:r>
    </w:p>
    <w:p>
      <w:pPr>
        <w:keepNext w:val="0"/>
        <w:keepLines w:val="0"/>
        <w:pageBreakBefore w:val="0"/>
        <w:widowControl w:val="0"/>
        <w:kinsoku/>
        <w:wordWrap/>
        <w:overflowPunct/>
        <w:topLinePunct w:val="0"/>
        <w:autoSpaceDE/>
        <w:autoSpaceDN/>
        <w:bidi w:val="0"/>
        <w:adjustRightInd/>
        <w:snapToGrid/>
        <w:spacing w:before="176" w:beforeLines="3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年，樟树市坚持以习近平新时代中国特色社会主义思想为指导，深入学习贯彻党的二十大和十九届历次全会精神，按照国务院和省、市关于政务信息公开工作的决策部署和总体要求，遵循公正、公平、合法、便民的原则，坚持以公开为常态，以不公开为例外的原则，把政府信息公开作为改进工作作风和机关形象的重要载体，精心组织，规范进行，有效保障了群众的知情权、参与权、监督权。</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_GB2312" w:cs="楷体"/>
          <w:b/>
          <w:bCs/>
          <w:lang w:val="en-US" w:eastAsia="zh-CN"/>
        </w:rPr>
      </w:pPr>
      <w:r>
        <w:rPr>
          <w:rFonts w:hint="eastAsia" w:ascii="楷体" w:hAnsi="楷体" w:eastAsia="楷体_GB2312"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截至12月31日，樟树市政府门户网站公开信息15514条（其中法定主动公开内容更新3278条，政府部门信息公开更新7359条，政府网站其余各栏目信息4877条），微信公众号发布信息245条。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b/>
          <w:bCs/>
          <w:lang w:val="en-US" w:eastAsia="zh-CN"/>
        </w:rPr>
      </w:pPr>
      <w:r>
        <w:rPr>
          <w:rFonts w:hint="eastAsia" w:ascii="仿宋" w:hAnsi="仿宋" w:eastAsia="仿宋_GB2312" w:cs="仿宋"/>
          <w:b/>
          <w:bCs/>
          <w:lang w:val="en-US" w:eastAsia="zh-CN"/>
        </w:rPr>
        <w:t>1.做好政府信息主动公开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2022年，政府网站主动公开政策文件公开325篇，重大行政决策公开257篇，规划信息公开56篇，食品药品安全监管信息公开71篇，生态环境领域信息公开63篇，财政信息公开350篇，新冠肺炎疫情防控信息公开1248篇。</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b/>
          <w:bCs/>
          <w:lang w:val="en-US" w:eastAsia="zh-CN"/>
        </w:rPr>
        <w:t>2.多元化政策解读</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围绕十四个五年规划、推进重点领域改革、加强污染防治和生态建设、高质量发展、切实增进民生福祉等方面出台的重大政策开展了深入解读，重要政策解读率达到100%。</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全年累计制作并发布政策解读98篇（其中文字解读67篇、图文解读21篇、动画解读1篇、H5解读4篇、PPT解读1篇、领导解读1篇、专家解读3篇），其中视频解读作品《解读&lt;樟树市传承和发展“樟头红”种植产业实施方案&gt;》在宜春市优秀政策解读材料评选活动中获奖。</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_GB2312" w:cs="楷体"/>
          <w:b/>
          <w:bCs/>
          <w:lang w:val="en-US" w:eastAsia="zh-CN"/>
        </w:rPr>
      </w:pPr>
      <w:r>
        <w:rPr>
          <w:rFonts w:hint="eastAsia" w:ascii="楷体" w:hAnsi="楷体" w:eastAsia="楷体_GB2312"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2022年全年收到政府信息公开申请26件（通过政府网站线上申请17件、通过当面提交或信函邮寄9件），其中市政府办5件、部门单位和乡镇街道共21件，申请事项涉及到8个部门单位、1个乡镇街道。所有依申请公开办理事项均在期限内办结（平均9.77天），没有引起行政复议或诉讼等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_GB2312" w:cs="楷体"/>
          <w:b/>
          <w:bCs/>
          <w:lang w:val="en-US" w:eastAsia="zh-CN"/>
        </w:rPr>
      </w:pPr>
      <w:r>
        <w:rPr>
          <w:rFonts w:hint="eastAsia" w:ascii="楷体" w:hAnsi="楷体" w:eastAsia="楷体_GB2312"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b/>
          <w:bCs/>
          <w:lang w:val="en-US" w:eastAsia="zh-CN"/>
        </w:rPr>
        <w:t>1.标准目录梳理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市级层面对26个领域基层政务公开标准目录进行梳理、简化，将公开事项由原来的1417项精简为1382项。同时19个乡镇（街道）也结合实际对26个领域基层政务公开标准目录进行优化，并在政府门户网站进行公示。</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b/>
          <w:bCs/>
          <w:lang w:val="en-US" w:eastAsia="zh-CN"/>
        </w:rPr>
        <w:t>2.制度保障执行</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出台《樟树市政策解读专员制度（试行）》《政务公开专区管理制度》等10余项制度，为政务公开工作开展提供强有力的制度保障。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严格落实公文公开属性源头审查和公开前发布审查工作机制，各部门单位报请市政府或市政府办公室发文的，均填写了《樟树市行政机关公文公开发布意见单》，提出了公开属性建议，同时一并提交了文件的解读材料。</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b/>
          <w:bCs/>
          <w:lang w:val="en-US" w:eastAsia="zh-CN"/>
        </w:rPr>
        <w:t>3.政务公开专区建设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在行政服务中心办事大厅设立了樟树市政务公开专区，配备了立式触摸屏查询机、电脑、打印机等设备，提供信息自助查询、信息公开申请、办事咨询、意见反馈等服务。所属19个乡镇（街道）也在便民服务中心开设了政务公开专区。</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_GB2312" w:cs="楷体"/>
          <w:b/>
          <w:bCs/>
          <w:lang w:val="en-US" w:eastAsia="zh-CN"/>
        </w:rPr>
      </w:pPr>
      <w:r>
        <w:rPr>
          <w:rFonts w:hint="eastAsia" w:ascii="楷体" w:hAnsi="楷体" w:eastAsia="楷体_GB2312"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b/>
          <w:bCs/>
          <w:lang w:val="en-US" w:eastAsia="zh-CN"/>
        </w:rPr>
        <w:t>1.政务新媒体发布</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樟树市开设有“樟树市政府网”公众号，平均2天更新一次，从政务公开的角度，针对樟树市各部门惠民、利民的政策发布进行不同深度的解读。</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b/>
          <w:bCs/>
          <w:lang w:val="en-US" w:eastAsia="zh-CN"/>
        </w:rPr>
        <w:t>2.政府网站互动回应</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樟树市人民政府网站互动采用外链“12345”政务服务热线平台、江西省“五型”政府建设监督平台的形式互动，以图形化的方式在政府网站的“互动交流”栏目公示办结率、满意率等信息，接受市民监督。</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2022年收到“你建言我来办”转办工单10件，在收到建言的第一时间进行办理或转办相关部门单位，在三个工作日内将办理情况进行书面反馈。</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b/>
          <w:bCs/>
          <w:lang w:val="en-US" w:eastAsia="zh-CN"/>
        </w:rPr>
        <w:t>3.政务公开主题广场建设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_GB2312" w:hAnsi="仿宋_GB2312" w:eastAsia="仿宋_GB2312" w:cs="仿宋_GB2312"/>
          <w:lang w:val="en-US" w:eastAsia="zh-CN"/>
        </w:rPr>
      </w:pPr>
      <w:r>
        <w:rPr>
          <w:rFonts w:hint="default" w:ascii="仿宋_GB2312" w:hAnsi="仿宋_GB2312" w:eastAsia="仿宋_GB2312" w:cs="仿宋_GB2312"/>
          <w:lang w:val="en-US" w:eastAsia="zh-CN"/>
        </w:rPr>
        <w:t>全省首创建设政务公开主题广场，将公交车运行线路、小学学区划分、最新政策文件解读等群众喜闻乐见的信息主动晾晒，获得群众一致好评。</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_GB2312" w:cs="楷体"/>
          <w:b/>
          <w:bCs/>
          <w:lang w:val="en-US" w:eastAsia="zh-CN"/>
        </w:rPr>
      </w:pPr>
      <w:r>
        <w:rPr>
          <w:rFonts w:hint="eastAsia" w:ascii="楷体" w:hAnsi="楷体" w:eastAsia="楷体_GB2312"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b/>
          <w:bCs/>
          <w:lang w:val="en-US" w:eastAsia="zh-CN"/>
        </w:rPr>
        <w:t>1.领导重视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成立了由市委常委、常务副市长任组长、各相关单位分管领导为成员的政务公开工作领导小组，由市政府办负责日常统筹指导，各部门单位、乡镇（街道）联动推进。</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主要领导多次听取政务公开汇报，定期调度听取政务公开工作情况汇报，高位推动政务公开工作。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b/>
          <w:bCs/>
          <w:lang w:val="en-US" w:eastAsia="zh-CN"/>
        </w:rPr>
        <w:t>2.工作推进</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制定《2022年樟树市政务公开工作要点》《樟树市全面推进基层政务公开标准化规范化工作实施方案》，明确工作目标，落实建设进度周报表、月调度机制，稳步有序推进示范创建工作。全年共召开5次专题部署会议。</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b/>
          <w:bCs/>
          <w:lang w:val="en-US" w:eastAsia="zh-CN"/>
        </w:rPr>
        <w:t>3.业务培训</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全年开展了8次业务培训，运用赣政通视频会议进行了5期政务公开“周二讲堂”线上培训。通过培训凝聚了共识、极大提高了具体工作人员的业务水平。</w:t>
      </w:r>
    </w:p>
    <w:p>
      <w:pPr>
        <w:keepNext w:val="0"/>
        <w:keepLines w:val="0"/>
        <w:pageBreakBefore w:val="0"/>
        <w:widowControl w:val="0"/>
        <w:kinsoku/>
        <w:wordWrap/>
        <w:overflowPunct/>
        <w:topLinePunct w:val="0"/>
        <w:autoSpaceDE/>
        <w:autoSpaceDN/>
        <w:bidi w:val="0"/>
        <w:adjustRightInd/>
        <w:snapToGrid/>
        <w:spacing w:before="176" w:beforeLines="3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6"/>
        <w:tblW w:w="9039" w:type="dxa"/>
        <w:jc w:val="center"/>
        <w:tblInd w:w="424" w:type="dxa"/>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Layout w:type="fixed"/>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 w:hAnsi="仿宋" w:eastAsia="仿宋" w:cs="仿宋"/>
                <w:lang w:val="en-US" w:eastAsia="zh-CN"/>
              </w:rPr>
            </w:pPr>
            <w:r>
              <w:rPr>
                <w:rFonts w:hint="eastAsia" w:ascii="仿宋" w:hAnsi="仿宋" w:eastAsia="仿宋_GB2312" w:cs="仿宋"/>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 w:hAnsi="仿宋" w:eastAsia="仿宋" w:cs="仿宋"/>
                <w:lang w:val="en-US" w:eastAsia="zh-CN"/>
              </w:rPr>
            </w:pPr>
            <w:r>
              <w:rPr>
                <w:rFonts w:hint="eastAsia" w:ascii="仿宋" w:hAnsi="仿宋" w:eastAsia="仿宋_GB2312" w:cs="仿宋"/>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 w:hAnsi="仿宋" w:eastAsia="仿宋" w:cs="仿宋"/>
                <w:lang w:val="en-US" w:eastAsia="zh-CN"/>
              </w:rPr>
            </w:pPr>
            <w:r>
              <w:rPr>
                <w:rFonts w:hint="eastAsia" w:ascii="仿宋" w:hAnsi="仿宋" w:eastAsia="仿宋_GB2312" w:cs="仿宋"/>
                <w:lang w:val="en-US" w:eastAsia="zh-CN"/>
              </w:rPr>
              <w:t>0</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 w:hAnsi="仿宋" w:eastAsia="仿宋" w:cs="仿宋"/>
                <w:lang w:val="en-US" w:eastAsia="zh-CN"/>
              </w:rPr>
            </w:pPr>
            <w:r>
              <w:rPr>
                <w:rFonts w:hint="eastAsia" w:ascii="仿宋" w:hAnsi="仿宋" w:eastAsia="仿宋_GB2312" w:cs="仿宋"/>
                <w:lang w:val="en-US" w:eastAsia="zh-CN"/>
              </w:rPr>
              <w:t>35</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 w:hAnsi="仿宋" w:eastAsia="仿宋" w:cs="仿宋"/>
                <w:lang w:val="en-US" w:eastAsia="zh-CN"/>
              </w:rPr>
            </w:pPr>
            <w:r>
              <w:rPr>
                <w:rFonts w:hint="eastAsia" w:ascii="仿宋" w:hAnsi="仿宋" w:eastAsia="仿宋_GB2312" w:cs="仿宋"/>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仿宋" w:hAnsi="仿宋" w:eastAsia="仿宋" w:cs="仿宋"/>
                <w:lang w:val="en-US" w:eastAsia="zh-CN"/>
              </w:rPr>
            </w:pPr>
            <w:r>
              <w:rPr>
                <w:rFonts w:hint="eastAsia" w:ascii="仿宋" w:hAnsi="仿宋" w:eastAsia="仿宋_GB2312" w:cs="仿宋"/>
                <w:lang w:val="en-US" w:eastAsia="zh-CN"/>
              </w:rPr>
              <w:t>195</w:t>
            </w:r>
          </w:p>
        </w:tc>
      </w:tr>
      <w:tr>
        <w:tblPrEx>
          <w:tblLayout w:type="fixed"/>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default" w:ascii="仿宋" w:hAnsi="仿宋" w:eastAsia="仿宋_GB2312" w:cs="仿宋"/>
                <w:highlight w:val="none"/>
                <w:lang w:val="en-US" w:eastAsia="zh-CN"/>
              </w:rPr>
              <w:t>12075</w:t>
            </w:r>
          </w:p>
        </w:tc>
      </w:tr>
      <w:tr>
        <w:tblPrEx>
          <w:shd w:val="clear" w:color="auto" w:fill="auto"/>
          <w:tblLayout w:type="fixed"/>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仿宋" w:hAnsi="仿宋" w:eastAsia="仿宋" w:cs="仿宋"/>
                <w:highlight w:val="none"/>
                <w:lang w:val="en-US" w:eastAsia="zh-CN"/>
              </w:rPr>
            </w:pPr>
            <w:r>
              <w:rPr>
                <w:rFonts w:hint="eastAsia" w:ascii="仿宋" w:hAnsi="仿宋" w:eastAsia="仿宋_GB2312" w:cs="仿宋"/>
                <w:highlight w:val="none"/>
                <w:lang w:val="en-US" w:eastAsia="zh-CN"/>
              </w:rPr>
              <w:t>2429</w:t>
            </w:r>
          </w:p>
        </w:tc>
      </w:tr>
      <w:tr>
        <w:tblPrEx>
          <w:shd w:val="clear" w:color="auto" w:fill="auto"/>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仿宋" w:hAnsi="仿宋" w:eastAsia="仿宋" w:cs="仿宋"/>
                <w:highlight w:val="none"/>
                <w:lang w:val="en-US" w:eastAsia="zh-CN"/>
              </w:rPr>
            </w:pPr>
            <w:r>
              <w:rPr>
                <w:rFonts w:hint="eastAsia" w:ascii="仿宋" w:hAnsi="仿宋" w:eastAsia="仿宋_GB2312" w:cs="仿宋"/>
                <w:highlight w:val="none"/>
                <w:lang w:val="en-US" w:eastAsia="zh-CN"/>
              </w:rPr>
              <w:t>8</w:t>
            </w:r>
          </w:p>
        </w:tc>
      </w:tr>
      <w:tr>
        <w:tblPrEx>
          <w:tblLayout w:type="fixed"/>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宋体"/>
                <w:sz w:val="24"/>
                <w:szCs w:val="24"/>
              </w:rPr>
            </w:pPr>
            <w:r>
              <w:rPr>
                <w:rFonts w:hint="eastAsia" w:ascii="仿宋" w:hAnsi="仿宋" w:eastAsia="仿宋_GB2312" w:cs="仿宋"/>
                <w:highlight w:val="none"/>
                <w:lang w:val="en-US" w:eastAsia="zh-CN"/>
              </w:rPr>
              <w:t>8306</w:t>
            </w:r>
          </w:p>
        </w:tc>
      </w:tr>
    </w:tbl>
    <w:p>
      <w:pPr>
        <w:keepNext w:val="0"/>
        <w:keepLines w:val="0"/>
        <w:pageBreakBefore w:val="0"/>
        <w:widowControl w:val="0"/>
        <w:kinsoku/>
        <w:wordWrap/>
        <w:overflowPunct/>
        <w:topLinePunct w:val="0"/>
        <w:autoSpaceDE/>
        <w:autoSpaceDN/>
        <w:bidi w:val="0"/>
        <w:adjustRightInd/>
        <w:snapToGrid/>
        <w:spacing w:line="48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6"/>
        <w:tblW w:w="9048" w:type="dxa"/>
        <w:jc w:val="center"/>
        <w:tblInd w:w="469"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34"/>
        <w:gridCol w:w="723"/>
        <w:gridCol w:w="2775"/>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_GB2312"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rPr>
                <w:rFonts w:eastAsia="仿宋_GB2312"/>
              </w:rPr>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rPr>
                <w:rFonts w:eastAsia="仿宋_GB2312"/>
              </w:rPr>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27</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9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16</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9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_GB2312"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7</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79" w:hRule="atLeast"/>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9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26</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1</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08" w:firstLineChars="200"/>
        <w:textAlignment w:val="auto"/>
        <w:outlineLvl w:val="9"/>
        <w:rPr>
          <w:rFonts w:hint="default" w:ascii="黑体" w:hAnsi="黑体" w:eastAsia="黑体" w:cs="黑体"/>
          <w:spacing w:val="-6"/>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7"/>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2021年比较突出的多元化解读比例不高、政务公开专区建设未形成两点特色的问题，经过市政府办公室、市政府各部门、各乡镇（街道）的共同努力，在2022年已经有了大幅改善和提升。同时，</w:t>
      </w:r>
      <w:r>
        <w:rPr>
          <w:rFonts w:hint="default" w:ascii="仿宋_GB2312" w:hAnsi="仿宋_GB2312" w:eastAsia="仿宋_GB2312" w:cs="仿宋_GB2312"/>
          <w:lang w:val="en-US" w:eastAsia="zh-CN"/>
        </w:rPr>
        <w:t>我们</w:t>
      </w:r>
      <w:r>
        <w:rPr>
          <w:rFonts w:hint="eastAsia" w:ascii="仿宋_GB2312" w:hAnsi="仿宋_GB2312" w:eastAsia="仿宋_GB2312" w:cs="仿宋_GB2312"/>
          <w:lang w:val="en-US" w:eastAsia="zh-CN"/>
        </w:rPr>
        <w:t>也充分认识</w:t>
      </w:r>
      <w:r>
        <w:rPr>
          <w:rFonts w:hint="default" w:ascii="仿宋_GB2312" w:hAnsi="仿宋_GB2312" w:eastAsia="仿宋_GB2312" w:cs="仿宋_GB2312"/>
          <w:lang w:val="en-US" w:eastAsia="zh-CN"/>
        </w:rPr>
        <w:t>到</w:t>
      </w:r>
      <w:r>
        <w:rPr>
          <w:rFonts w:hint="eastAsia" w:ascii="仿宋_GB2312" w:hAnsi="仿宋_GB2312" w:eastAsia="仿宋_GB2312" w:cs="仿宋_GB2312"/>
          <w:lang w:val="en-US" w:eastAsia="zh-CN"/>
        </w:rPr>
        <w:t>自身在</w:t>
      </w:r>
      <w:r>
        <w:rPr>
          <w:rFonts w:hint="default" w:ascii="仿宋_GB2312" w:hAnsi="仿宋_GB2312" w:eastAsia="仿宋_GB2312" w:cs="仿宋_GB2312"/>
          <w:lang w:val="en-US" w:eastAsia="zh-CN"/>
        </w:rPr>
        <w:t>政府信息公开工作中</w:t>
      </w:r>
      <w:r>
        <w:rPr>
          <w:rFonts w:hint="eastAsia" w:ascii="仿宋_GB2312" w:hAnsi="仿宋_GB2312" w:eastAsia="仿宋_GB2312" w:cs="仿宋_GB2312"/>
          <w:lang w:val="en-US" w:eastAsia="zh-CN"/>
        </w:rPr>
        <w:t>依然还</w:t>
      </w:r>
      <w:r>
        <w:rPr>
          <w:rFonts w:hint="default" w:ascii="仿宋_GB2312" w:hAnsi="仿宋_GB2312" w:eastAsia="仿宋_GB2312" w:cs="仿宋_GB2312"/>
          <w:lang w:val="en-US" w:eastAsia="zh-CN"/>
        </w:rPr>
        <w:t>存在</w:t>
      </w:r>
      <w:r>
        <w:rPr>
          <w:rFonts w:hint="eastAsia" w:ascii="仿宋_GB2312" w:hAnsi="仿宋_GB2312" w:eastAsia="仿宋_GB2312" w:cs="仿宋_GB2312"/>
          <w:lang w:val="en-US" w:eastAsia="zh-CN"/>
        </w:rPr>
        <w:t>一些</w:t>
      </w:r>
      <w:r>
        <w:rPr>
          <w:rFonts w:hint="default" w:ascii="仿宋_GB2312" w:hAnsi="仿宋_GB2312" w:eastAsia="仿宋_GB2312" w:cs="仿宋_GB2312"/>
          <w:lang w:val="en-US" w:eastAsia="zh-CN"/>
        </w:rPr>
        <w:t>问题和不足，主要表现在：</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default" w:ascii="楷体" w:hAnsi="楷体" w:eastAsia="楷体_GB2312" w:cs="楷体"/>
          <w:b/>
          <w:bCs/>
          <w:sz w:val="32"/>
          <w:szCs w:val="32"/>
          <w:highlight w:val="none"/>
          <w:lang w:val="en-US" w:eastAsia="zh-CN"/>
        </w:rPr>
        <w:t>一是思想重视还不够。</w:t>
      </w:r>
      <w:r>
        <w:rPr>
          <w:rFonts w:hint="default" w:ascii="仿宋_GB2312" w:hAnsi="仿宋_GB2312" w:eastAsia="仿宋_GB2312" w:cs="仿宋_GB2312"/>
          <w:lang w:val="en-US" w:eastAsia="zh-CN"/>
        </w:rPr>
        <w:t>部分市直单位和乡镇（街道）对政务公开工作重要性的认识还有待提高，没有把政务公开工作当做一项重点工作来抓，仅限于完成规定动作。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default" w:ascii="楷体" w:hAnsi="楷体" w:eastAsia="楷体_GB2312" w:cs="楷体"/>
          <w:b/>
          <w:bCs/>
          <w:sz w:val="32"/>
          <w:szCs w:val="32"/>
          <w:highlight w:val="none"/>
          <w:lang w:val="en-US" w:eastAsia="zh-CN"/>
        </w:rPr>
        <w:t>二是推进力度还不够。</w:t>
      </w:r>
      <w:r>
        <w:rPr>
          <w:rFonts w:hint="default" w:ascii="仿宋_GB2312" w:hAnsi="仿宋_GB2312" w:eastAsia="仿宋_GB2312" w:cs="仿宋_GB2312"/>
          <w:lang w:val="en-US" w:eastAsia="zh-CN"/>
        </w:rPr>
        <w:t>“十县百乡”试点建设以来我市工作重点在“线下”、在乡镇（街道）推动较多，市直单位推动少，存在市直单位“线上”稿件发布不及时、稿件质量不高的情况。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_GB2312" w:hAnsi="仿宋_GB2312" w:eastAsia="仿宋_GB2312" w:cs="仿宋_GB2312"/>
          <w:lang w:val="en-US" w:eastAsia="zh-CN"/>
        </w:rPr>
      </w:pPr>
      <w:r>
        <w:rPr>
          <w:rFonts w:hint="default" w:ascii="楷体" w:hAnsi="楷体" w:eastAsia="楷体_GB2312" w:cs="楷体"/>
          <w:b/>
          <w:bCs/>
          <w:sz w:val="32"/>
          <w:szCs w:val="32"/>
          <w:highlight w:val="none"/>
          <w:lang w:val="en-US" w:eastAsia="zh-CN"/>
        </w:rPr>
        <w:t>三是服务群众还不够。</w:t>
      </w:r>
      <w:r>
        <w:rPr>
          <w:rFonts w:hint="default" w:ascii="仿宋_GB2312" w:hAnsi="仿宋_GB2312" w:eastAsia="仿宋_GB2312" w:cs="仿宋_GB2312"/>
          <w:lang w:val="en-US" w:eastAsia="zh-CN"/>
        </w:rPr>
        <w:t>平时推进政务公开更多是把考核放在第一位，站在群众的角度上公开不多，在公开内容以群众需求结合还不够紧密。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下一步，我们将进一步规范政务公开行为，采取多形式、多渠道拓展覆盖面，拓宽公开渠道，积极探索政务公开的新形式、新渠道、新途径，把涉及人民群众切身利益的各类事项作为公开的重点，进一步加大政府网站和政务新媒体的公开力度，接受全社会的监督，把政务公开办成一个群众满意的民心工程。主要做好以下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楷体" w:hAnsi="楷体" w:eastAsia="楷体_GB2312" w:cs="楷体"/>
          <w:b/>
          <w:bCs/>
          <w:sz w:val="32"/>
          <w:szCs w:val="32"/>
          <w:highlight w:val="none"/>
          <w:lang w:val="en-US" w:eastAsia="zh-CN"/>
        </w:rPr>
        <w:t>一是强化工作责任落实。</w:t>
      </w:r>
      <w:r>
        <w:rPr>
          <w:rFonts w:hint="eastAsia" w:ascii="仿宋_GB2312" w:hAnsi="仿宋_GB2312" w:eastAsia="仿宋_GB2312" w:cs="仿宋_GB2312"/>
          <w:lang w:val="en-US" w:eastAsia="zh-CN"/>
        </w:rPr>
        <w:t>在政务公开工作列入考核的基础上，每季对政务公开工作进行排名并通报，同时定期召开政务公开专题调度会，做到乡镇（街道）、部门单位一盘棋，“线上”“线下”同步推进，切实增强做好政务公开工作的主动性和自觉性。</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楷体" w:hAnsi="楷体" w:eastAsia="楷体_GB2312" w:cs="楷体"/>
          <w:b/>
          <w:bCs/>
          <w:sz w:val="32"/>
          <w:szCs w:val="32"/>
          <w:highlight w:val="none"/>
          <w:lang w:val="en-US" w:eastAsia="zh-CN"/>
        </w:rPr>
        <w:t>二是突出政民双向互动。</w:t>
      </w:r>
      <w:r>
        <w:rPr>
          <w:rFonts w:hint="eastAsia" w:ascii="仿宋_GB2312" w:hAnsi="仿宋_GB2312" w:eastAsia="仿宋_GB2312" w:cs="仿宋_GB2312"/>
          <w:lang w:val="en-US" w:eastAsia="zh-CN"/>
        </w:rPr>
        <w:t>以广大群众最关心的问题为突破口，从群众视角着力强化政策发布、解读和回应，围绕群众关注的大事、实事，关系群众切身利益的事，进一步扩大公开范围，提高政民互动水平和为民服务实效。</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楷体" w:hAnsi="楷体" w:eastAsia="楷体_GB2312" w:cs="楷体"/>
          <w:b/>
          <w:bCs/>
          <w:sz w:val="32"/>
          <w:szCs w:val="32"/>
          <w:highlight w:val="none"/>
          <w:lang w:val="en-US" w:eastAsia="zh-CN"/>
        </w:rPr>
        <w:t>三是纵深推进试点工作。</w:t>
      </w:r>
      <w:r>
        <w:rPr>
          <w:rFonts w:hint="eastAsia" w:ascii="仿宋_GB2312" w:hAnsi="仿宋_GB2312" w:eastAsia="仿宋_GB2312" w:cs="仿宋_GB2312"/>
          <w:lang w:val="en-US" w:eastAsia="zh-CN"/>
        </w:rPr>
        <w:t>在试点建设的基础上，加大向村一级的延伸力度，推进非试点村（居）委政务公开体验区建设。同时鼓励各乡镇（街道）结合工作实际，以“五公开”为切入点，挖掘本地优秀案例，确保在宣传上发出樟树声音。</w:t>
      </w:r>
    </w:p>
    <w:p>
      <w:pPr>
        <w:keepNext w:val="0"/>
        <w:keepLines w:val="0"/>
        <w:pageBreakBefore w:val="0"/>
        <w:widowControl w:val="0"/>
        <w:kinsoku/>
        <w:wordWrap/>
        <w:overflowPunct/>
        <w:topLinePunct w:val="0"/>
        <w:autoSpaceDE/>
        <w:autoSpaceDN/>
        <w:bidi w:val="0"/>
        <w:adjustRightInd/>
        <w:snapToGrid/>
        <w:spacing w:before="176" w:beforeLines="3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依据《政府信息公开信息处理费管理办法》，在《樟树市政府信息公开指南》中已载明了政府信息公开办理的收费要求和标准，2022年收到和办理的政府信息公开按件计、</w:t>
      </w:r>
      <w:bookmarkStart w:id="0" w:name="_GoBack"/>
      <w:bookmarkEnd w:id="0"/>
      <w:r>
        <w:rPr>
          <w:rFonts w:hint="eastAsia" w:ascii="仿宋_GB2312" w:hAnsi="仿宋_GB2312" w:eastAsia="仿宋_GB2312" w:cs="仿宋_GB2312"/>
          <w:lang w:val="en-US" w:eastAsia="zh-CN"/>
        </w:rPr>
        <w:t>按量计均没有达到收费标准，因此2022年樟树市收取政府信息公开信息处理费共计0元。</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义启简黑体拼音版">
    <w:panose1 w:val="02000000000000000000"/>
    <w:charset w:val="80"/>
    <w:family w:val="auto"/>
    <w:pitch w:val="default"/>
    <w:sig w:usb0="00000283" w:usb1="080F0C10" w:usb2="00000012" w:usb3="00000000" w:csb0="00020001" w:csb1="00000000"/>
  </w:font>
  <w:font w:name="仪品卡通体">
    <w:panose1 w:val="02010600010101010101"/>
    <w:charset w:val="86"/>
    <w:family w:val="auto"/>
    <w:pitch w:val="default"/>
    <w:sig w:usb0="00000001" w:usb1="08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准圆简体">
    <w:panose1 w:val="02000000000000000000"/>
    <w:charset w:val="86"/>
    <w:family w:val="auto"/>
    <w:pitch w:val="default"/>
    <w:sig w:usb0="A00002BF" w:usb1="184F6CFA" w:usb2="00000012" w:usb3="00000000" w:csb0="00040001" w:csb1="00000000"/>
  </w:font>
  <w:font w:name="方正卡通简体">
    <w:panose1 w:val="02000000000000000000"/>
    <w:charset w:val="86"/>
    <w:family w:val="auto"/>
    <w:pitch w:val="default"/>
    <w:sig w:usb0="A00002BF" w:usb1="184F6CFA" w:usb2="00000012" w:usb3="00000000" w:csb0="00040001" w:csb1="00000000"/>
  </w:font>
  <w:font w:name="方正少儿简体">
    <w:panose1 w:val="02000000000000000000"/>
    <w:charset w:val="86"/>
    <w:family w:val="auto"/>
    <w:pitch w:val="default"/>
    <w:sig w:usb0="A00002BF" w:usb1="184F6CFA" w:usb2="00000012" w:usb3="00000000" w:csb0="00040001" w:csb1="00000000"/>
  </w:font>
  <w:font w:name="方正硬笔楷书简体">
    <w:panose1 w:val="02000000000000000000"/>
    <w:charset w:val="86"/>
    <w:family w:val="auto"/>
    <w:pitch w:val="default"/>
    <w:sig w:usb0="A00002BF" w:usb1="184F6CFA" w:usb2="00000012" w:usb3="00000000" w:csb0="00040001" w:csb1="00000000"/>
  </w:font>
  <w:font w:name="方正硬笔行书简体">
    <w:panose1 w:val="02000000000000000000"/>
    <w:charset w:val="86"/>
    <w:family w:val="auto"/>
    <w:pitch w:val="default"/>
    <w:sig w:usb0="A00002BF" w:usb1="184F6CFA" w:usb2="00000012" w:usb3="00000000" w:csb0="00040001" w:csb1="00000000"/>
  </w:font>
  <w:font w:name="方正粗圆简体">
    <w:panose1 w:val="02000000000000000000"/>
    <w:charset w:val="86"/>
    <w:family w:val="auto"/>
    <w:pitch w:val="default"/>
    <w:sig w:usb0="A00002BF" w:usb1="184F6CFA" w:usb2="00000012" w:usb3="00000000" w:csb0="00040001" w:csb1="00000000"/>
  </w:font>
  <w:font w:name="方正细圆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段宁毛笔精美行书">
    <w:panose1 w:val="02010600030101010101"/>
    <w:charset w:val="86"/>
    <w:family w:val="auto"/>
    <w:pitch w:val="default"/>
    <w:sig w:usb0="00000283" w:usb1="080F1C10" w:usb2="00000006" w:usb3="00000000" w:csb0="40040001" w:csb1="C0D60000"/>
  </w:font>
  <w:font w:name="站酷小薇LOGO体">
    <w:panose1 w:val="02010600010101010101"/>
    <w:charset w:val="86"/>
    <w:family w:val="auto"/>
    <w:pitch w:val="default"/>
    <w:sig w:usb0="A00002BF" w:usb1="184F6CFA" w:usb2="00000012" w:usb3="00000000" w:csb0="00040001" w:csb1="00000000"/>
  </w:font>
  <w:font w:name="站酷文艺体">
    <w:panose1 w:val="02000603000000000000"/>
    <w:charset w:val="86"/>
    <w:family w:val="auto"/>
    <w:pitch w:val="default"/>
    <w:sig w:usb0="00000001" w:usb1="08000000" w:usb2="00000010" w:usb3="00000000" w:csb0="00040001" w:csb1="00000000"/>
  </w:font>
  <w:font w:name="站酷高端黑">
    <w:panose1 w:val="02010600030101010101"/>
    <w:charset w:val="86"/>
    <w:family w:val="auto"/>
    <w:pitch w:val="default"/>
    <w:sig w:usb0="00000003" w:usb1="080E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等距更纱黑体 SC Light">
    <w:panose1 w:val="02000409000000000000"/>
    <w:charset w:val="86"/>
    <w:family w:val="auto"/>
    <w:pitch w:val="default"/>
    <w:sig w:usb0="F10002FF" w:usb1="7BDFFDFF" w:usb2="02040036" w:usb3="00000000" w:csb0="2004011F" w:csb1="C4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酒慰风尘">
    <w:panose1 w:val="02010600040101010101"/>
    <w:charset w:val="86"/>
    <w:family w:val="auto"/>
    <w:pitch w:val="default"/>
    <w:sig w:usb0="00000001" w:usb1="08010410" w:usb2="00000012" w:usb3="00000000" w:csb0="00140001" w:csb1="00000000"/>
  </w:font>
  <w:font w:name="等距更纱黑体 SC">
    <w:panose1 w:val="02000509000000000000"/>
    <w:charset w:val="86"/>
    <w:family w:val="auto"/>
    <w:pitch w:val="default"/>
    <w:sig w:usb0="F10002FF" w:usb1="7BDFFDFF" w:usb2="02040036" w:usb3="00000000" w:csb0="2004011F" w:csb1="C4000000"/>
  </w:font>
  <w:font w:name="等线">
    <w:panose1 w:val="02010600030101010101"/>
    <w:charset w:val="86"/>
    <w:family w:val="auto"/>
    <w:pitch w:val="default"/>
    <w:sig w:usb0="A00002BF" w:usb1="38CF7CFA" w:usb2="00000016" w:usb3="00000000" w:csb0="0004000F" w:csb1="00000000"/>
  </w:font>
  <w:font w:name="站酷酷黑">
    <w:panose1 w:val="02010600030101010101"/>
    <w:charset w:val="86"/>
    <w:family w:val="auto"/>
    <w:pitch w:val="default"/>
    <w:sig w:usb0="00000003" w:usb1="080E0000" w:usb2="00000000" w:usb3="00000000" w:csb0="00040001" w:csb1="00000000"/>
  </w:font>
  <w:font w:name="站酷快乐体2016修订版">
    <w:panose1 w:val="02010600030101010101"/>
    <w:charset w:val="86"/>
    <w:family w:val="auto"/>
    <w:pitch w:val="default"/>
    <w:sig w:usb0="00000003" w:usb1="080E0000" w:usb2="00000000" w:usb3="00000000" w:csb0="00040001" w:csb1="00000000"/>
  </w:font>
  <w:font w:name="站酷庆科黄油体">
    <w:panose1 w:val="02000803000000020004"/>
    <w:charset w:val="86"/>
    <w:family w:val="auto"/>
    <w:pitch w:val="default"/>
    <w:sig w:usb0="A00002FF" w:usb1="28C17CFA" w:usb2="00000016" w:usb3="00000000" w:csb0="0004000F" w:csb1="00000000"/>
  </w:font>
  <w:font w:name="潮字社国风鸿书简">
    <w:panose1 w:val="02020300000000000000"/>
    <w:charset w:val="86"/>
    <w:family w:val="auto"/>
    <w:pitch w:val="default"/>
    <w:sig w:usb0="00000003" w:usb1="080E0000" w:usb2="00000000" w:usb3="00000000" w:csb0="00040001" w:csb1="00000000"/>
  </w:font>
  <w:font w:name="潮字社北冥简繁-闪">
    <w:panose1 w:val="02010604000000000000"/>
    <w:charset w:val="86"/>
    <w:family w:val="auto"/>
    <w:pitch w:val="default"/>
    <w:sig w:usb0="00000003" w:usb1="080E0000" w:usb2="00000000" w:usb3="00000000" w:csb0="00040001" w:csb1="00000000"/>
  </w:font>
  <w:font w:name="潮字社凌渡鲲鹏简">
    <w:panose1 w:val="02010604000000000000"/>
    <w:charset w:val="86"/>
    <w:family w:val="auto"/>
    <w:pitch w:val="default"/>
    <w:sig w:usb0="00000003" w:usb1="080E0000" w:usb2="00000000" w:usb3="00000000" w:csb0="00040000" w:csb1="00000000"/>
  </w:font>
  <w:font w:name="演示镇魂行楷斜体">
    <w:panose1 w:val="00000500000000000000"/>
    <w:charset w:val="86"/>
    <w:family w:val="auto"/>
    <w:pitch w:val="default"/>
    <w:sig w:usb0="00000001" w:usb1="08000000" w:usb2="00000000" w:usb3="00000000" w:csb0="00040000" w:csb1="00000000"/>
  </w:font>
  <w:font w:name="汉仪秦川漫书简">
    <w:panose1 w:val="00020600040101010101"/>
    <w:charset w:val="86"/>
    <w:family w:val="auto"/>
    <w:pitch w:val="default"/>
    <w:sig w:usb0="A00002FF" w:usb1="0ACF7CFA" w:usb2="00000016" w:usb3="00000000" w:csb0="0004009F" w:csb1="00000000"/>
  </w:font>
  <w:font w:name="汉仪家书简">
    <w:panose1 w:val="02010600000101010101"/>
    <w:charset w:val="86"/>
    <w:family w:val="auto"/>
    <w:pitch w:val="default"/>
    <w:sig w:usb0="00000001" w:usb1="080E0800" w:usb2="00000002" w:usb3="00000000" w:csb0="00040000" w:csb1="00000000"/>
  </w:font>
  <w:font w:name="汉仪丫丫体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9B5932"/>
    <w:rsid w:val="00EC4910"/>
    <w:rsid w:val="02F54702"/>
    <w:rsid w:val="03C8557B"/>
    <w:rsid w:val="05654CB8"/>
    <w:rsid w:val="05F05B40"/>
    <w:rsid w:val="06DB7F27"/>
    <w:rsid w:val="07F4584C"/>
    <w:rsid w:val="0ACC2C81"/>
    <w:rsid w:val="0BED0BAC"/>
    <w:rsid w:val="0D405B9A"/>
    <w:rsid w:val="0EC56BE4"/>
    <w:rsid w:val="140A1550"/>
    <w:rsid w:val="15E42966"/>
    <w:rsid w:val="162031F9"/>
    <w:rsid w:val="18485EDA"/>
    <w:rsid w:val="18D93B07"/>
    <w:rsid w:val="1A6B2177"/>
    <w:rsid w:val="1AF0455D"/>
    <w:rsid w:val="1B092ACD"/>
    <w:rsid w:val="1C5406EC"/>
    <w:rsid w:val="1E425582"/>
    <w:rsid w:val="206207B8"/>
    <w:rsid w:val="206B6C43"/>
    <w:rsid w:val="216D5B87"/>
    <w:rsid w:val="2189066F"/>
    <w:rsid w:val="21A7465C"/>
    <w:rsid w:val="254F7E52"/>
    <w:rsid w:val="25811B31"/>
    <w:rsid w:val="26146728"/>
    <w:rsid w:val="26FC1405"/>
    <w:rsid w:val="270058EA"/>
    <w:rsid w:val="27651E49"/>
    <w:rsid w:val="287E6C0D"/>
    <w:rsid w:val="2C27513E"/>
    <w:rsid w:val="2C460333"/>
    <w:rsid w:val="2ED05660"/>
    <w:rsid w:val="2EFA27F4"/>
    <w:rsid w:val="2F134D2B"/>
    <w:rsid w:val="2F186129"/>
    <w:rsid w:val="30195927"/>
    <w:rsid w:val="32555BB0"/>
    <w:rsid w:val="325658DE"/>
    <w:rsid w:val="34002B52"/>
    <w:rsid w:val="355B733D"/>
    <w:rsid w:val="37501B7F"/>
    <w:rsid w:val="37D50499"/>
    <w:rsid w:val="3A1F4C30"/>
    <w:rsid w:val="3A4D6E28"/>
    <w:rsid w:val="3A8F65F1"/>
    <w:rsid w:val="3BB61625"/>
    <w:rsid w:val="3C5723C0"/>
    <w:rsid w:val="3CE65B03"/>
    <w:rsid w:val="3D44722E"/>
    <w:rsid w:val="3DED76CA"/>
    <w:rsid w:val="3F2260FE"/>
    <w:rsid w:val="41605AC0"/>
    <w:rsid w:val="43774FA6"/>
    <w:rsid w:val="45907AA2"/>
    <w:rsid w:val="464F6B73"/>
    <w:rsid w:val="474A0961"/>
    <w:rsid w:val="480228CB"/>
    <w:rsid w:val="486B0274"/>
    <w:rsid w:val="4A6C6248"/>
    <w:rsid w:val="4ADD06B7"/>
    <w:rsid w:val="4B014F94"/>
    <w:rsid w:val="4D443067"/>
    <w:rsid w:val="4F5F685C"/>
    <w:rsid w:val="4F9B5932"/>
    <w:rsid w:val="5336467E"/>
    <w:rsid w:val="536F5F87"/>
    <w:rsid w:val="539A045C"/>
    <w:rsid w:val="546B3054"/>
    <w:rsid w:val="56363673"/>
    <w:rsid w:val="563E5708"/>
    <w:rsid w:val="58851FB1"/>
    <w:rsid w:val="596F52B9"/>
    <w:rsid w:val="5B715147"/>
    <w:rsid w:val="5C37293A"/>
    <w:rsid w:val="5C404C93"/>
    <w:rsid w:val="5CA327DF"/>
    <w:rsid w:val="602E3F69"/>
    <w:rsid w:val="60465DF9"/>
    <w:rsid w:val="605C2D26"/>
    <w:rsid w:val="63604736"/>
    <w:rsid w:val="642A68FB"/>
    <w:rsid w:val="64391402"/>
    <w:rsid w:val="66FC3229"/>
    <w:rsid w:val="6756573E"/>
    <w:rsid w:val="6A54678A"/>
    <w:rsid w:val="6BEF6B75"/>
    <w:rsid w:val="6CD60491"/>
    <w:rsid w:val="6DCC05AB"/>
    <w:rsid w:val="6F541A84"/>
    <w:rsid w:val="6FD75466"/>
    <w:rsid w:val="70223F9F"/>
    <w:rsid w:val="712552F6"/>
    <w:rsid w:val="71C051BF"/>
    <w:rsid w:val="71D057DD"/>
    <w:rsid w:val="71FA238D"/>
    <w:rsid w:val="72884111"/>
    <w:rsid w:val="72D7567A"/>
    <w:rsid w:val="738855AB"/>
    <w:rsid w:val="73F7644F"/>
    <w:rsid w:val="740C7820"/>
    <w:rsid w:val="742339BF"/>
    <w:rsid w:val="74640F81"/>
    <w:rsid w:val="75656CA8"/>
    <w:rsid w:val="7578631A"/>
    <w:rsid w:val="75D02165"/>
    <w:rsid w:val="76310443"/>
    <w:rsid w:val="7679348E"/>
    <w:rsid w:val="76D24A39"/>
    <w:rsid w:val="77330F53"/>
    <w:rsid w:val="79112F0F"/>
    <w:rsid w:val="7BC64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7</TotalTime>
  <ScaleCrop>false</ScaleCrop>
  <LinksUpToDate>false</LinksUpToDate>
  <CharactersWithSpaces>2807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2022-01-05T08:44:00Z</dcterms:created>
  <dc:creator>Administrator</dc:creator>
  <cp:lastModifiedBy>Administrator</cp:lastModifiedBy>
  <dcterms:modified xsi:type="dcterms:W3CDTF">2023-01-13T01:31:42Z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