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225" w:lineRule="auto"/>
        <w:ind w:firstLine="2934" w:firstLineChars="900"/>
        <w:jc w:val="both"/>
        <w:outlineLvl w:val="0"/>
        <w:rPr>
          <w:rFonts w:ascii="宋体" w:hAnsi="宋体" w:eastAsia="宋体" w:cs="宋体"/>
          <w:sz w:val="31"/>
          <w:szCs w:val="31"/>
          <w:highlight w:val="none"/>
        </w:rPr>
      </w:pPr>
      <w:r>
        <w:rPr>
          <w:rFonts w:hint="eastAsia" w:ascii="宋体" w:hAnsi="宋体" w:eastAsia="宋体" w:cs="宋体"/>
          <w:spacing w:val="8"/>
          <w:sz w:val="31"/>
          <w:szCs w:val="31"/>
          <w:highlight w:val="none"/>
          <w:lang w:val="en-US" w:eastAsia="zh-CN"/>
        </w:rPr>
        <w:t>附件二、</w:t>
      </w:r>
      <w:bookmarkStart w:id="0" w:name="_GoBack"/>
      <w:bookmarkEnd w:id="0"/>
      <w:r>
        <w:rPr>
          <w:rFonts w:ascii="宋体" w:hAnsi="宋体" w:eastAsia="宋体" w:cs="宋体"/>
          <w:spacing w:val="8"/>
          <w:sz w:val="31"/>
          <w:szCs w:val="31"/>
          <w:highlight w:val="none"/>
        </w:rPr>
        <w:t>评审办法</w:t>
      </w:r>
    </w:p>
    <w:p>
      <w:pPr>
        <w:rPr>
          <w:rFonts w:hint="eastAsia"/>
          <w:lang w:eastAsia="zh-CN"/>
        </w:rPr>
      </w:pPr>
    </w:p>
    <w:p>
      <w:pPr>
        <w:pStyle w:val="3"/>
        <w:rPr>
          <w:rFonts w:hint="eastAsia"/>
          <w:lang w:eastAsia="zh-CN"/>
        </w:rPr>
      </w:pPr>
    </w:p>
    <w:p>
      <w:pPr>
        <w:keepNext w:val="0"/>
        <w:keepLines w:val="0"/>
        <w:pageBreakBefore w:val="0"/>
        <w:widowControl/>
        <w:kinsoku w:val="0"/>
        <w:wordWrap/>
        <w:overflowPunct/>
        <w:topLinePunct w:val="0"/>
        <w:autoSpaceDE w:val="0"/>
        <w:autoSpaceDN w:val="0"/>
        <w:bidi w:val="0"/>
        <w:adjustRightInd w:val="0"/>
        <w:snapToGrid w:val="0"/>
        <w:spacing w:line="353" w:lineRule="auto"/>
        <w:ind w:left="0" w:right="0" w:firstLine="508" w:firstLineChars="200"/>
        <w:textAlignment w:val="baseline"/>
        <w:rPr>
          <w:rFonts w:ascii="宋体" w:hAnsi="宋体" w:eastAsia="宋体" w:cs="宋体"/>
          <w:sz w:val="24"/>
          <w:szCs w:val="24"/>
        </w:rPr>
      </w:pPr>
      <w:r>
        <w:rPr>
          <w:rFonts w:ascii="宋体" w:hAnsi="宋体" w:eastAsia="宋体" w:cs="宋体"/>
          <w:spacing w:val="7"/>
          <w:sz w:val="24"/>
          <w:szCs w:val="24"/>
        </w:rPr>
        <w:t>根据《中华人民共和国政府采购法》等有关法律法规，遵循“公开、公平、</w:t>
      </w:r>
      <w:r>
        <w:rPr>
          <w:rFonts w:ascii="宋体" w:hAnsi="宋体" w:eastAsia="宋体" w:cs="宋体"/>
          <w:spacing w:val="3"/>
          <w:sz w:val="24"/>
          <w:szCs w:val="24"/>
        </w:rPr>
        <w:t>公</w:t>
      </w:r>
      <w:r>
        <w:rPr>
          <w:rFonts w:ascii="宋体" w:hAnsi="宋体" w:eastAsia="宋体" w:cs="宋体"/>
          <w:spacing w:val="9"/>
          <w:sz w:val="24"/>
          <w:szCs w:val="24"/>
        </w:rPr>
        <w:t>正”的原则，结合本项目的实际需求，制定本办法</w:t>
      </w:r>
      <w:r>
        <w:rPr>
          <w:rFonts w:ascii="宋体" w:hAnsi="宋体" w:eastAsia="宋体" w:cs="宋体"/>
          <w:spacing w:val="7"/>
          <w:sz w:val="24"/>
          <w:szCs w:val="24"/>
        </w:rPr>
        <w:t>。</w:t>
      </w:r>
    </w:p>
    <w:p>
      <w:pPr>
        <w:spacing w:line="394" w:lineRule="exact"/>
        <w:ind w:left="484"/>
        <w:rPr>
          <w:rFonts w:ascii="宋体" w:hAnsi="宋体" w:eastAsia="宋体" w:cs="宋体"/>
          <w:sz w:val="24"/>
          <w:szCs w:val="24"/>
        </w:rPr>
      </w:pPr>
      <w:r>
        <w:rPr>
          <w:rFonts w:ascii="宋体" w:hAnsi="宋体" w:eastAsia="宋体" w:cs="宋体"/>
          <w:spacing w:val="8"/>
          <w:position w:val="2"/>
          <w:sz w:val="24"/>
          <w:szCs w:val="24"/>
        </w:rPr>
        <w:t>一</w:t>
      </w:r>
      <w:r>
        <w:rPr>
          <w:rFonts w:ascii="宋体" w:hAnsi="宋体" w:eastAsia="宋体" w:cs="宋体"/>
          <w:spacing w:val="7"/>
          <w:position w:val="2"/>
          <w:sz w:val="24"/>
          <w:szCs w:val="24"/>
        </w:rPr>
        <w:t>、总则</w:t>
      </w:r>
    </w:p>
    <w:p>
      <w:pPr>
        <w:spacing w:before="46" w:line="440" w:lineRule="exact"/>
        <w:ind w:left="498"/>
        <w:rPr>
          <w:rFonts w:ascii="宋体" w:hAnsi="宋体" w:eastAsia="宋体" w:cs="宋体"/>
          <w:sz w:val="24"/>
          <w:szCs w:val="24"/>
        </w:rPr>
      </w:pPr>
      <w:r>
        <w:rPr>
          <w:rFonts w:ascii="宋体" w:hAnsi="宋体" w:eastAsia="宋体" w:cs="宋体"/>
          <w:spacing w:val="2"/>
          <w:position w:val="15"/>
          <w:sz w:val="24"/>
          <w:szCs w:val="24"/>
        </w:rPr>
        <w:t>1.本次评标采用综合评分法，总分为 100 分</w:t>
      </w:r>
      <w:r>
        <w:rPr>
          <w:rFonts w:ascii="宋体" w:hAnsi="宋体" w:eastAsia="宋体" w:cs="宋体"/>
          <w:spacing w:val="1"/>
          <w:position w:val="15"/>
          <w:sz w:val="24"/>
          <w:szCs w:val="24"/>
        </w:rPr>
        <w:t>。</w:t>
      </w:r>
    </w:p>
    <w:p>
      <w:pPr>
        <w:spacing w:line="311" w:lineRule="exact"/>
        <w:ind w:left="483"/>
        <w:rPr>
          <w:rFonts w:ascii="宋体" w:hAnsi="宋体" w:eastAsia="宋体" w:cs="宋体"/>
          <w:sz w:val="24"/>
          <w:szCs w:val="24"/>
        </w:rPr>
      </w:pPr>
      <w:r>
        <w:rPr>
          <w:rFonts w:ascii="宋体" w:hAnsi="宋体" w:eastAsia="宋体" w:cs="宋体"/>
          <w:spacing w:val="13"/>
          <w:position w:val="1"/>
          <w:sz w:val="24"/>
          <w:szCs w:val="24"/>
        </w:rPr>
        <w:t>2</w:t>
      </w:r>
      <w:r>
        <w:rPr>
          <w:rFonts w:ascii="宋体" w:hAnsi="宋体" w:eastAsia="宋体" w:cs="宋体"/>
          <w:spacing w:val="8"/>
          <w:position w:val="1"/>
          <w:sz w:val="24"/>
          <w:szCs w:val="24"/>
        </w:rPr>
        <w:t>.各合格投标人综合得分的计算公式为：</w:t>
      </w:r>
    </w:p>
    <w:p>
      <w:pPr>
        <w:spacing w:before="128" w:line="228" w:lineRule="auto"/>
        <w:ind w:left="483"/>
        <w:rPr>
          <w:rFonts w:ascii="宋体" w:hAnsi="宋体" w:eastAsia="宋体" w:cs="宋体"/>
          <w:spacing w:val="9"/>
          <w:sz w:val="24"/>
          <w:szCs w:val="24"/>
        </w:rPr>
      </w:pPr>
      <w:r>
        <w:rPr>
          <w:rFonts w:ascii="宋体" w:hAnsi="宋体" w:eastAsia="宋体" w:cs="宋体"/>
          <w:spacing w:val="14"/>
          <w:sz w:val="24"/>
          <w:szCs w:val="24"/>
        </w:rPr>
        <w:t>各</w:t>
      </w:r>
      <w:r>
        <w:rPr>
          <w:rFonts w:ascii="宋体" w:hAnsi="宋体" w:eastAsia="宋体" w:cs="宋体"/>
          <w:spacing w:val="9"/>
          <w:sz w:val="24"/>
          <w:szCs w:val="24"/>
        </w:rPr>
        <w:t>合格投标人评标综合得分=各投标人报价得分＋各投标人商务技术得分。</w:t>
      </w:r>
    </w:p>
    <w:p>
      <w:pPr>
        <w:pStyle w:val="3"/>
        <w:rPr>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53" w:lineRule="auto"/>
        <w:ind w:right="0" w:firstLine="528" w:firstLineChars="200"/>
        <w:textAlignment w:val="baseline"/>
        <w:rPr>
          <w:rFonts w:hint="eastAsia" w:ascii="宋体" w:hAnsi="宋体" w:eastAsia="宋体" w:cs="宋体"/>
          <w:sz w:val="24"/>
          <w:szCs w:val="24"/>
          <w:lang w:eastAsia="zh-CN"/>
        </w:rPr>
      </w:pPr>
      <w:r>
        <w:rPr>
          <w:rFonts w:ascii="宋体" w:hAnsi="宋体" w:eastAsia="宋体" w:cs="宋体"/>
          <w:spacing w:val="12"/>
          <w:sz w:val="24"/>
          <w:szCs w:val="24"/>
        </w:rPr>
        <w:t>3.合</w:t>
      </w:r>
      <w:r>
        <w:rPr>
          <w:rFonts w:ascii="宋体" w:hAnsi="宋体" w:eastAsia="宋体" w:cs="宋体"/>
          <w:spacing w:val="10"/>
          <w:sz w:val="24"/>
          <w:szCs w:val="24"/>
        </w:rPr>
        <w:t>格</w:t>
      </w:r>
      <w:r>
        <w:rPr>
          <w:rFonts w:ascii="宋体" w:hAnsi="宋体" w:eastAsia="宋体" w:cs="宋体"/>
          <w:spacing w:val="6"/>
          <w:sz w:val="24"/>
          <w:szCs w:val="24"/>
        </w:rPr>
        <w:t>投标人的综合得分为各项目汇总得分，中标候选资格按综合得分由</w:t>
      </w:r>
      <w:r>
        <w:rPr>
          <w:rFonts w:ascii="宋体" w:hAnsi="宋体" w:eastAsia="宋体" w:cs="宋体"/>
          <w:spacing w:val="9"/>
          <w:sz w:val="24"/>
          <w:szCs w:val="24"/>
        </w:rPr>
        <w:t>高到低顺序</w:t>
      </w:r>
      <w:r>
        <w:rPr>
          <w:rFonts w:hint="eastAsia" w:ascii="宋体" w:hAnsi="宋体" w:eastAsia="宋体" w:cs="宋体"/>
          <w:spacing w:val="9"/>
          <w:sz w:val="24"/>
          <w:szCs w:val="24"/>
        </w:rPr>
        <w:t>排序前三名；</w:t>
      </w:r>
      <w:r>
        <w:rPr>
          <w:rFonts w:ascii="宋体" w:hAnsi="宋体" w:eastAsia="宋体" w:cs="宋体"/>
          <w:spacing w:val="9"/>
          <w:sz w:val="24"/>
          <w:szCs w:val="24"/>
        </w:rPr>
        <w:t>得分相同的，按技术指标优劣顺序排列，并形成评标意见。</w:t>
      </w:r>
      <w:r>
        <w:rPr>
          <w:rFonts w:hint="eastAsia" w:ascii="宋体" w:hAnsi="宋体" w:eastAsia="宋体" w:cs="宋体"/>
          <w:spacing w:val="9"/>
          <w:sz w:val="24"/>
          <w:szCs w:val="24"/>
        </w:rPr>
        <w:t>中标候选人不排序，</w:t>
      </w:r>
      <w:r>
        <w:rPr>
          <w:rFonts w:hint="eastAsia" w:ascii="宋体" w:hAnsi="宋体" w:eastAsia="宋体" w:cs="宋体"/>
          <w:spacing w:val="9"/>
          <w:sz w:val="24"/>
          <w:szCs w:val="24"/>
          <w:lang w:eastAsia="zh-CN"/>
        </w:rPr>
        <w:t>招标人将综合前三投标人投标文件进行编辑最终招标文件。</w:t>
      </w:r>
    </w:p>
    <w:p>
      <w:pPr>
        <w:spacing w:before="131" w:line="408" w:lineRule="exact"/>
        <w:ind w:left="485"/>
        <w:rPr>
          <w:rFonts w:ascii="宋体" w:hAnsi="宋体" w:eastAsia="宋体" w:cs="宋体"/>
          <w:spacing w:val="3"/>
          <w:position w:val="12"/>
          <w:sz w:val="24"/>
          <w:szCs w:val="24"/>
        </w:rPr>
      </w:pPr>
      <w:r>
        <w:rPr>
          <w:rFonts w:hint="eastAsia" w:ascii="宋体" w:hAnsi="宋体" w:eastAsia="宋体" w:cs="宋体"/>
          <w:spacing w:val="6"/>
          <w:position w:val="12"/>
          <w:sz w:val="24"/>
          <w:szCs w:val="24"/>
          <w:lang w:val="en-US" w:eastAsia="zh-CN"/>
        </w:rPr>
        <w:t>4</w:t>
      </w:r>
      <w:r>
        <w:rPr>
          <w:rFonts w:ascii="宋体" w:hAnsi="宋体" w:eastAsia="宋体" w:cs="宋体"/>
          <w:spacing w:val="5"/>
          <w:position w:val="12"/>
          <w:sz w:val="24"/>
          <w:szCs w:val="24"/>
        </w:rPr>
        <w:t>.</w:t>
      </w:r>
      <w:r>
        <w:rPr>
          <w:rFonts w:ascii="宋体" w:hAnsi="宋体" w:eastAsia="宋体" w:cs="宋体"/>
          <w:spacing w:val="3"/>
          <w:position w:val="12"/>
          <w:sz w:val="24"/>
          <w:szCs w:val="24"/>
        </w:rPr>
        <w:t>评分过程中采用四舍五入法，并保留小数 2 位。</w:t>
      </w:r>
    </w:p>
    <w:p>
      <w:pPr>
        <w:spacing w:before="131" w:line="408" w:lineRule="exact"/>
        <w:ind w:left="485"/>
        <w:rPr>
          <w:rFonts w:hint="default" w:ascii="宋体" w:hAnsi="宋体" w:eastAsia="宋体" w:cs="宋体"/>
          <w:spacing w:val="3"/>
          <w:position w:val="12"/>
          <w:sz w:val="24"/>
          <w:szCs w:val="24"/>
          <w:lang w:val="en-US" w:eastAsia="zh-CN"/>
        </w:rPr>
      </w:pPr>
      <w:r>
        <w:rPr>
          <w:rFonts w:hint="eastAsia" w:ascii="宋体" w:hAnsi="宋体" w:eastAsia="宋体" w:cs="宋体"/>
          <w:spacing w:val="3"/>
          <w:position w:val="12"/>
          <w:sz w:val="24"/>
          <w:szCs w:val="24"/>
          <w:lang w:val="en-US" w:eastAsia="zh-CN"/>
        </w:rPr>
        <w:t>5.评标委员会需对5个包分别打分，按得分排序出5个包对应的排序前三名。</w:t>
      </w:r>
    </w:p>
    <w:p>
      <w:pPr>
        <w:spacing w:before="1" w:line="225" w:lineRule="auto"/>
        <w:ind w:left="1"/>
        <w:rPr>
          <w:rFonts w:ascii="宋体" w:hAnsi="宋体" w:eastAsia="宋体" w:cs="宋体"/>
          <w:spacing w:val="8"/>
          <w:sz w:val="24"/>
          <w:szCs w:val="24"/>
        </w:rPr>
      </w:pPr>
      <w:r>
        <w:rPr>
          <w:rFonts w:ascii="宋体" w:hAnsi="宋体" w:eastAsia="宋体" w:cs="宋体"/>
          <w:spacing w:val="11"/>
          <w:sz w:val="24"/>
          <w:szCs w:val="24"/>
        </w:rPr>
        <w:t>本</w:t>
      </w:r>
      <w:r>
        <w:rPr>
          <w:rFonts w:ascii="宋体" w:hAnsi="宋体" w:eastAsia="宋体" w:cs="宋体"/>
          <w:spacing w:val="8"/>
          <w:sz w:val="24"/>
          <w:szCs w:val="24"/>
        </w:rPr>
        <w:t>项目具体评分细则如下：</w:t>
      </w:r>
    </w:p>
    <w:p>
      <w:pPr>
        <w:rPr>
          <w:rFonts w:hint="eastAsia"/>
          <w:lang w:eastAsia="zh-CN"/>
        </w:rPr>
      </w:pPr>
    </w:p>
    <w:p>
      <w:pPr>
        <w:rPr>
          <w:rFonts w:hint="eastAsia"/>
          <w:lang w:eastAsia="zh-CN"/>
        </w:rPr>
      </w:pPr>
    </w:p>
    <w:p>
      <w:pPr>
        <w:pStyle w:val="2"/>
        <w:spacing w:before="1"/>
        <w:rPr>
          <w:b/>
          <w:sz w:val="11"/>
        </w:rPr>
      </w:pPr>
    </w:p>
    <w:tbl>
      <w:tblPr>
        <w:tblStyle w:val="4"/>
        <w:tblW w:w="9912" w:type="dxa"/>
        <w:jc w:val="center"/>
        <w:tblLayout w:type="fixed"/>
        <w:tblCellMar>
          <w:top w:w="0" w:type="dxa"/>
          <w:left w:w="0" w:type="dxa"/>
          <w:bottom w:w="0" w:type="dxa"/>
          <w:right w:w="0" w:type="dxa"/>
        </w:tblCellMar>
      </w:tblPr>
      <w:tblGrid>
        <w:gridCol w:w="1229"/>
        <w:gridCol w:w="7881"/>
        <w:gridCol w:w="802"/>
      </w:tblGrid>
      <w:tr>
        <w:tblPrEx>
          <w:tblCellMar>
            <w:top w:w="0" w:type="dxa"/>
            <w:left w:w="0" w:type="dxa"/>
            <w:bottom w:w="0" w:type="dxa"/>
            <w:right w:w="0" w:type="dxa"/>
          </w:tblCellMar>
        </w:tblPrEx>
        <w:trPr>
          <w:cantSplit/>
          <w:trHeight w:val="438" w:hRule="atLeast"/>
          <w:jc w:val="center"/>
        </w:trPr>
        <w:tc>
          <w:tcPr>
            <w:tcW w:w="1229" w:type="dxa"/>
            <w:tcBorders>
              <w:top w:val="single" w:color="000000" w:sz="2" w:space="0"/>
              <w:left w:val="single" w:color="000000" w:sz="2" w:space="0"/>
              <w:bottom w:val="single" w:color="000000" w:sz="2" w:space="0"/>
              <w:right w:val="single" w:color="000000" w:sz="2" w:space="0"/>
            </w:tcBorders>
            <w:vAlign w:val="center"/>
          </w:tcPr>
          <w:p>
            <w:pPr>
              <w:autoSpaceDE w:val="0"/>
              <w:spacing w:line="360" w:lineRule="auto"/>
              <w:jc w:val="center"/>
              <w:textAlignment w:val="baseline"/>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评分项</w:t>
            </w:r>
          </w:p>
        </w:tc>
        <w:tc>
          <w:tcPr>
            <w:tcW w:w="7881" w:type="dxa"/>
            <w:tcBorders>
              <w:top w:val="single" w:color="000000" w:sz="2" w:space="0"/>
              <w:left w:val="single" w:color="000000" w:sz="2" w:space="0"/>
              <w:bottom w:val="single" w:color="000000" w:sz="2" w:space="0"/>
              <w:right w:val="single" w:color="000000" w:sz="2" w:space="0"/>
            </w:tcBorders>
            <w:vAlign w:val="center"/>
          </w:tcPr>
          <w:p>
            <w:pPr>
              <w:widowControl/>
              <w:spacing w:line="360" w:lineRule="auto"/>
              <w:jc w:val="center"/>
              <w:textAlignment w:val="baseline"/>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评审内容</w:t>
            </w:r>
          </w:p>
        </w:tc>
        <w:tc>
          <w:tcPr>
            <w:tcW w:w="802" w:type="dxa"/>
            <w:tcBorders>
              <w:top w:val="single" w:color="000000" w:sz="2" w:space="0"/>
              <w:left w:val="single" w:color="000000" w:sz="2" w:space="0"/>
              <w:bottom w:val="single" w:color="000000" w:sz="2" w:space="0"/>
              <w:right w:val="single" w:color="000000" w:sz="2" w:space="0"/>
            </w:tcBorders>
            <w:vAlign w:val="center"/>
          </w:tcPr>
          <w:p>
            <w:pPr>
              <w:widowControl/>
              <w:spacing w:line="360" w:lineRule="auto"/>
              <w:jc w:val="center"/>
              <w:textAlignment w:val="baseline"/>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分值</w:t>
            </w:r>
          </w:p>
        </w:tc>
      </w:tr>
      <w:tr>
        <w:tblPrEx>
          <w:tblCellMar>
            <w:top w:w="0" w:type="dxa"/>
            <w:left w:w="0" w:type="dxa"/>
            <w:bottom w:w="0" w:type="dxa"/>
            <w:right w:w="0" w:type="dxa"/>
          </w:tblCellMar>
        </w:tblPrEx>
        <w:trPr>
          <w:cantSplit/>
          <w:trHeight w:val="545" w:hRule="atLeast"/>
          <w:jc w:val="center"/>
        </w:trPr>
        <w:tc>
          <w:tcPr>
            <w:tcW w:w="9912" w:type="dxa"/>
            <w:gridSpan w:val="3"/>
            <w:tcBorders>
              <w:top w:val="single" w:color="000000" w:sz="2" w:space="0"/>
              <w:left w:val="single" w:color="000000" w:sz="2" w:space="0"/>
              <w:bottom w:val="single" w:color="000000" w:sz="2" w:space="0"/>
              <w:right w:val="single" w:color="000000" w:sz="2" w:space="0"/>
            </w:tcBorders>
            <w:vAlign w:val="center"/>
          </w:tcPr>
          <w:p>
            <w:pPr>
              <w:autoSpaceDE w:val="0"/>
              <w:spacing w:line="360" w:lineRule="auto"/>
              <w:jc w:val="center"/>
              <w:textAlignment w:val="baseline"/>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（一）价格评分（</w:t>
            </w:r>
            <w:r>
              <w:rPr>
                <w:rFonts w:hint="eastAsia" w:ascii="宋体" w:hAnsi="宋体" w:eastAsia="宋体" w:cs="宋体"/>
                <w:color w:val="auto"/>
                <w:kern w:val="0"/>
                <w:sz w:val="24"/>
                <w:szCs w:val="24"/>
                <w:highlight w:val="none"/>
                <w:lang w:val="en-US" w:eastAsia="zh-CN"/>
              </w:rPr>
              <w:t>50</w:t>
            </w:r>
            <w:r>
              <w:rPr>
                <w:rFonts w:hint="eastAsia" w:ascii="宋体" w:hAnsi="宋体" w:eastAsia="宋体" w:cs="宋体"/>
                <w:color w:val="auto"/>
                <w:kern w:val="0"/>
                <w:sz w:val="24"/>
                <w:szCs w:val="24"/>
                <w:highlight w:val="none"/>
              </w:rPr>
              <w:t>分）</w:t>
            </w:r>
          </w:p>
        </w:tc>
      </w:tr>
      <w:tr>
        <w:tblPrEx>
          <w:tblCellMar>
            <w:top w:w="0" w:type="dxa"/>
            <w:left w:w="0" w:type="dxa"/>
            <w:bottom w:w="0" w:type="dxa"/>
            <w:right w:w="0" w:type="dxa"/>
          </w:tblCellMar>
        </w:tblPrEx>
        <w:trPr>
          <w:cantSplit/>
          <w:trHeight w:val="1987" w:hRule="atLeast"/>
          <w:jc w:val="center"/>
        </w:trPr>
        <w:tc>
          <w:tcPr>
            <w:tcW w:w="1229" w:type="dxa"/>
            <w:tcBorders>
              <w:top w:val="single" w:color="000000" w:sz="2" w:space="0"/>
              <w:left w:val="single" w:color="000000" w:sz="2" w:space="0"/>
              <w:bottom w:val="single" w:color="000000" w:sz="2" w:space="0"/>
              <w:right w:val="single" w:color="000000" w:sz="2" w:space="0"/>
            </w:tcBorders>
            <w:vAlign w:val="center"/>
          </w:tcPr>
          <w:p>
            <w:pPr>
              <w:autoSpaceDE w:val="0"/>
              <w:spacing w:line="360" w:lineRule="auto"/>
              <w:jc w:val="center"/>
              <w:textAlignment w:val="baseline"/>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价格评分</w:t>
            </w:r>
          </w:p>
        </w:tc>
        <w:tc>
          <w:tcPr>
            <w:tcW w:w="7881" w:type="dxa"/>
            <w:tcBorders>
              <w:top w:val="single" w:color="000000" w:sz="2" w:space="0"/>
              <w:left w:val="single" w:color="000000" w:sz="2" w:space="0"/>
              <w:bottom w:val="single" w:color="000000" w:sz="2" w:space="0"/>
              <w:right w:val="single" w:color="000000" w:sz="2" w:space="0"/>
            </w:tcBorders>
            <w:vAlign w:val="center"/>
          </w:tcPr>
          <w:p>
            <w:pPr>
              <w:numPr>
                <w:ilvl w:val="0"/>
                <w:numId w:val="1"/>
              </w:numPr>
              <w:autoSpaceDE w:val="0"/>
              <w:spacing w:line="360" w:lineRule="auto"/>
              <w:textAlignment w:val="baseline"/>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综合评分法中的价格分统一采用低价优先法计算，即满足招标文件要求且投标价格最低的投标报价为评标基准价，其价格分为满分。其他投标人的价格分统一按照下列公式计算：投标报价得分=(评标基准价／投标价格)×50，计算分数时四舍五入，取小数点后两位。</w:t>
            </w:r>
          </w:p>
          <w:p>
            <w:pPr>
              <w:numPr>
                <w:ilvl w:val="0"/>
                <w:numId w:val="1"/>
              </w:numPr>
              <w:autoSpaceDE w:val="0"/>
              <w:spacing w:line="360" w:lineRule="auto"/>
              <w:textAlignment w:val="baseline"/>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投标单位清单报价应合理、完善，清单不合理，不完善的评标委员会应当将其按无效投标处理。</w:t>
            </w:r>
          </w:p>
          <w:p>
            <w:pPr>
              <w:autoSpaceDE w:val="0"/>
              <w:spacing w:line="360" w:lineRule="auto"/>
              <w:textAlignment w:val="baseline"/>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3、评标委员会认为供应商的报价明显低于其他通过符合性审查供应商的报价，有可能影响产品质量或者不能诚信履约的，评标委员会应当将其按无效投标处理。</w:t>
            </w:r>
          </w:p>
        </w:tc>
        <w:tc>
          <w:tcPr>
            <w:tcW w:w="802" w:type="dxa"/>
            <w:tcBorders>
              <w:top w:val="single" w:color="000000" w:sz="2" w:space="0"/>
              <w:left w:val="single" w:color="000000" w:sz="2" w:space="0"/>
              <w:bottom w:val="single" w:color="000000" w:sz="2" w:space="0"/>
              <w:right w:val="single" w:color="000000" w:sz="2" w:space="0"/>
            </w:tcBorders>
            <w:vAlign w:val="center"/>
          </w:tcPr>
          <w:p>
            <w:pPr>
              <w:autoSpaceDE w:val="0"/>
              <w:spacing w:line="360" w:lineRule="auto"/>
              <w:jc w:val="center"/>
              <w:textAlignment w:val="baseline"/>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val="en-US" w:eastAsia="zh-CN"/>
              </w:rPr>
              <w:t>50</w:t>
            </w:r>
            <w:r>
              <w:rPr>
                <w:rFonts w:hint="eastAsia" w:ascii="宋体" w:hAnsi="宋体" w:eastAsia="宋体" w:cs="宋体"/>
                <w:b w:val="0"/>
                <w:bCs w:val="0"/>
                <w:color w:val="auto"/>
                <w:kern w:val="0"/>
                <w:sz w:val="24"/>
                <w:szCs w:val="24"/>
                <w:highlight w:val="none"/>
              </w:rPr>
              <w:t>分</w:t>
            </w:r>
          </w:p>
        </w:tc>
      </w:tr>
      <w:tr>
        <w:tblPrEx>
          <w:tblCellMar>
            <w:top w:w="0" w:type="dxa"/>
            <w:left w:w="0" w:type="dxa"/>
            <w:bottom w:w="0" w:type="dxa"/>
            <w:right w:w="0" w:type="dxa"/>
          </w:tblCellMar>
        </w:tblPrEx>
        <w:trPr>
          <w:cantSplit/>
          <w:trHeight w:val="582" w:hRule="atLeast"/>
          <w:jc w:val="center"/>
        </w:trPr>
        <w:tc>
          <w:tcPr>
            <w:tcW w:w="9912" w:type="dxa"/>
            <w:gridSpan w:val="3"/>
            <w:tcBorders>
              <w:top w:val="single" w:color="000000" w:sz="2" w:space="0"/>
              <w:left w:val="single" w:color="000000" w:sz="2" w:space="0"/>
              <w:bottom w:val="single" w:color="000000" w:sz="2" w:space="0"/>
              <w:right w:val="single" w:color="000000" w:sz="2" w:space="0"/>
            </w:tcBorders>
            <w:vAlign w:val="center"/>
          </w:tcPr>
          <w:p>
            <w:pPr>
              <w:autoSpaceDE w:val="0"/>
              <w:spacing w:line="360" w:lineRule="auto"/>
              <w:jc w:val="center"/>
              <w:textAlignment w:val="baseline"/>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（二）技术评审标准（</w:t>
            </w:r>
            <w:r>
              <w:rPr>
                <w:rFonts w:hint="eastAsia" w:ascii="宋体" w:hAnsi="宋体" w:cs="宋体"/>
                <w:b w:val="0"/>
                <w:bCs w:val="0"/>
                <w:color w:val="auto"/>
                <w:kern w:val="0"/>
                <w:sz w:val="24"/>
                <w:szCs w:val="24"/>
                <w:highlight w:val="none"/>
                <w:lang w:val="en-US" w:eastAsia="zh-CN"/>
              </w:rPr>
              <w:t>35</w:t>
            </w:r>
            <w:r>
              <w:rPr>
                <w:rFonts w:hint="eastAsia" w:ascii="宋体" w:hAnsi="宋体" w:eastAsia="宋体" w:cs="宋体"/>
                <w:b w:val="0"/>
                <w:bCs w:val="0"/>
                <w:color w:val="auto"/>
                <w:kern w:val="0"/>
                <w:sz w:val="24"/>
                <w:szCs w:val="24"/>
                <w:highlight w:val="none"/>
              </w:rPr>
              <w:t>分）</w:t>
            </w:r>
          </w:p>
        </w:tc>
      </w:tr>
      <w:tr>
        <w:tblPrEx>
          <w:tblCellMar>
            <w:top w:w="0" w:type="dxa"/>
            <w:left w:w="0" w:type="dxa"/>
            <w:bottom w:w="0" w:type="dxa"/>
            <w:right w:w="0" w:type="dxa"/>
          </w:tblCellMar>
        </w:tblPrEx>
        <w:trPr>
          <w:cantSplit/>
          <w:trHeight w:val="1167" w:hRule="atLeast"/>
          <w:jc w:val="center"/>
        </w:trPr>
        <w:tc>
          <w:tcPr>
            <w:tcW w:w="1229" w:type="dxa"/>
            <w:tcBorders>
              <w:top w:val="single" w:color="000000" w:sz="2" w:space="0"/>
              <w:left w:val="single" w:color="000000" w:sz="2" w:space="0"/>
              <w:bottom w:val="single" w:color="auto" w:sz="4" w:space="0"/>
              <w:right w:val="single" w:color="000000" w:sz="2" w:space="0"/>
            </w:tcBorders>
            <w:vAlign w:val="center"/>
          </w:tcPr>
          <w:p>
            <w:pPr>
              <w:autoSpaceDE w:val="0"/>
              <w:spacing w:line="360" w:lineRule="auto"/>
              <w:jc w:val="center"/>
              <w:textAlignment w:val="baseline"/>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技术要求</w:t>
            </w:r>
          </w:p>
        </w:tc>
        <w:tc>
          <w:tcPr>
            <w:tcW w:w="7881" w:type="dxa"/>
            <w:tcBorders>
              <w:top w:val="single" w:color="000000" w:sz="2" w:space="0"/>
              <w:left w:val="single" w:color="000000" w:sz="2" w:space="0"/>
              <w:bottom w:val="single" w:color="auto" w:sz="4" w:space="0"/>
              <w:right w:val="single" w:color="000000" w:sz="2" w:space="0"/>
            </w:tcBorders>
            <w:vAlign w:val="center"/>
          </w:tcPr>
          <w:p>
            <w:pPr>
              <w:pStyle w:val="3"/>
              <w:numPr>
                <w:ilvl w:val="0"/>
                <w:numId w:val="2"/>
              </w:numPr>
              <w:rPr>
                <w:rFonts w:hint="default" w:ascii="宋体" w:hAnsi="宋体" w:eastAsia="宋体" w:cs="宋体"/>
                <w:b w:val="0"/>
                <w:bCs w:val="0"/>
                <w:snapToGrid w:val="0"/>
                <w:color w:val="auto"/>
                <w:sz w:val="24"/>
                <w:szCs w:val="24"/>
                <w:highlight w:val="none"/>
                <w:lang w:val="en-US" w:eastAsia="zh-CN" w:bidi="ar-SA"/>
              </w:rPr>
            </w:pPr>
            <w:r>
              <w:rPr>
                <w:rFonts w:hint="eastAsia" w:ascii="宋体" w:hAnsi="宋体" w:eastAsia="宋体" w:cs="宋体"/>
                <w:b w:val="0"/>
                <w:bCs w:val="0"/>
                <w:snapToGrid w:val="0"/>
                <w:color w:val="auto"/>
                <w:sz w:val="24"/>
                <w:szCs w:val="24"/>
                <w:highlight w:val="none"/>
                <w:lang w:val="en-US" w:eastAsia="zh-CN" w:bidi="ar-SA"/>
              </w:rPr>
              <w:t>针对各投标单位提供的核心产品</w:t>
            </w:r>
            <w:r>
              <w:rPr>
                <w:rFonts w:hint="eastAsia" w:hAnsi="宋体" w:cs="宋体"/>
                <w:b w:val="0"/>
                <w:bCs w:val="0"/>
                <w:snapToGrid w:val="0"/>
                <w:color w:val="auto"/>
                <w:sz w:val="24"/>
                <w:szCs w:val="24"/>
                <w:highlight w:val="none"/>
                <w:lang w:val="en-US" w:eastAsia="zh-CN" w:bidi="ar-SA"/>
              </w:rPr>
              <w:t>（预算占比大及技术要求复杂产品）</w:t>
            </w:r>
            <w:r>
              <w:rPr>
                <w:rFonts w:hint="eastAsia" w:ascii="宋体" w:hAnsi="宋体" w:eastAsia="宋体" w:cs="宋体"/>
                <w:b w:val="0"/>
                <w:bCs w:val="0"/>
                <w:snapToGrid w:val="0"/>
                <w:color w:val="auto"/>
                <w:sz w:val="24"/>
                <w:szCs w:val="24"/>
                <w:highlight w:val="none"/>
                <w:lang w:val="en-US" w:eastAsia="zh-CN" w:bidi="ar-SA"/>
              </w:rPr>
              <w:t>进行</w:t>
            </w:r>
            <w:r>
              <w:rPr>
                <w:rFonts w:hint="eastAsia" w:hAnsi="宋体" w:cs="宋体"/>
                <w:b w:val="0"/>
                <w:bCs w:val="0"/>
                <w:snapToGrid w:val="0"/>
                <w:color w:val="auto"/>
                <w:sz w:val="24"/>
                <w:szCs w:val="24"/>
                <w:highlight w:val="none"/>
                <w:lang w:val="en-US" w:eastAsia="zh-CN" w:bidi="ar-SA"/>
              </w:rPr>
              <w:t>评分</w:t>
            </w:r>
            <w:r>
              <w:rPr>
                <w:rFonts w:hint="eastAsia" w:ascii="宋体" w:hAnsi="宋体" w:eastAsia="宋体" w:cs="宋体"/>
                <w:b w:val="0"/>
                <w:bCs w:val="0"/>
                <w:snapToGrid w:val="0"/>
                <w:color w:val="auto"/>
                <w:sz w:val="24"/>
                <w:szCs w:val="24"/>
                <w:highlight w:val="none"/>
                <w:lang w:val="en-US" w:eastAsia="zh-CN" w:bidi="ar-SA"/>
              </w:rPr>
              <w:t>，</w:t>
            </w:r>
            <w:r>
              <w:rPr>
                <w:rFonts w:hint="eastAsia" w:hAnsi="宋体" w:cs="宋体"/>
                <w:b w:val="0"/>
                <w:bCs w:val="0"/>
                <w:snapToGrid w:val="0"/>
                <w:color w:val="auto"/>
                <w:sz w:val="24"/>
                <w:szCs w:val="24"/>
                <w:highlight w:val="none"/>
                <w:lang w:val="en-US" w:eastAsia="zh-CN" w:bidi="ar-SA"/>
              </w:rPr>
              <w:t>核心产品完善、合理能满足全部要求</w:t>
            </w:r>
            <w:r>
              <w:rPr>
                <w:rFonts w:hint="eastAsia" w:ascii="宋体" w:hAnsi="宋体" w:eastAsia="宋体" w:cs="宋体"/>
                <w:b w:val="0"/>
                <w:bCs w:val="0"/>
                <w:snapToGrid w:val="0"/>
                <w:color w:val="auto"/>
                <w:sz w:val="24"/>
                <w:szCs w:val="24"/>
                <w:highlight w:val="none"/>
                <w:lang w:val="en-US" w:eastAsia="zh-CN" w:bidi="ar-SA"/>
              </w:rPr>
              <w:t>的得10-15，</w:t>
            </w:r>
            <w:r>
              <w:rPr>
                <w:rFonts w:hint="eastAsia" w:hAnsi="宋体" w:cs="宋体"/>
                <w:b w:val="0"/>
                <w:bCs w:val="0"/>
                <w:snapToGrid w:val="0"/>
                <w:color w:val="auto"/>
                <w:sz w:val="24"/>
                <w:szCs w:val="24"/>
                <w:highlight w:val="none"/>
                <w:lang w:val="en-US" w:eastAsia="zh-CN" w:bidi="ar-SA"/>
              </w:rPr>
              <w:t>核心产品较完善、合理能满足全部要求</w:t>
            </w:r>
            <w:r>
              <w:rPr>
                <w:rFonts w:hint="eastAsia" w:ascii="宋体" w:hAnsi="宋体" w:eastAsia="宋体" w:cs="宋体"/>
                <w:b w:val="0"/>
                <w:bCs w:val="0"/>
                <w:snapToGrid w:val="0"/>
                <w:color w:val="auto"/>
                <w:sz w:val="24"/>
                <w:szCs w:val="24"/>
                <w:highlight w:val="none"/>
                <w:lang w:val="en-US" w:eastAsia="zh-CN" w:bidi="ar-SA"/>
              </w:rPr>
              <w:t>的得的得5-10，</w:t>
            </w:r>
            <w:r>
              <w:rPr>
                <w:rFonts w:hint="eastAsia" w:hAnsi="宋体" w:cs="宋体"/>
                <w:b w:val="0"/>
                <w:bCs w:val="0"/>
                <w:snapToGrid w:val="0"/>
                <w:color w:val="auto"/>
                <w:sz w:val="24"/>
                <w:szCs w:val="24"/>
                <w:highlight w:val="none"/>
                <w:lang w:val="en-US" w:eastAsia="zh-CN" w:bidi="ar-SA"/>
              </w:rPr>
              <w:t>核心产品合理及完善性</w:t>
            </w:r>
            <w:r>
              <w:rPr>
                <w:rFonts w:hint="eastAsia" w:ascii="宋体" w:hAnsi="宋体" w:eastAsia="宋体" w:cs="宋体"/>
                <w:b w:val="0"/>
                <w:bCs w:val="0"/>
                <w:snapToGrid w:val="0"/>
                <w:color w:val="auto"/>
                <w:sz w:val="24"/>
                <w:szCs w:val="24"/>
                <w:highlight w:val="none"/>
                <w:lang w:val="en-US" w:eastAsia="zh-CN" w:bidi="ar-SA"/>
              </w:rPr>
              <w:t>一般的得0-5，差或未提供的不得分。</w:t>
            </w:r>
          </w:p>
          <w:p>
            <w:pPr>
              <w:pStyle w:val="3"/>
              <w:numPr>
                <w:ilvl w:val="0"/>
                <w:numId w:val="0"/>
              </w:numPr>
              <w:rPr>
                <w:rFonts w:hint="eastAsia"/>
                <w:b w:val="0"/>
                <w:bCs w:val="0"/>
                <w:lang w:val="en-US" w:eastAsia="zh-CN"/>
              </w:rPr>
            </w:pPr>
            <w:r>
              <w:rPr>
                <w:rFonts w:hint="eastAsia" w:ascii="宋体" w:hAnsi="宋体" w:eastAsia="宋体" w:cs="宋体"/>
                <w:b w:val="0"/>
                <w:bCs w:val="0"/>
                <w:snapToGrid w:val="0"/>
                <w:color w:val="auto"/>
                <w:sz w:val="24"/>
                <w:szCs w:val="24"/>
                <w:highlight w:val="none"/>
                <w:lang w:val="en-US" w:eastAsia="zh-CN" w:bidi="ar-SA"/>
              </w:rPr>
              <w:t>2、投标人需完全响应采购清单要求, 任何一条不满足（负偏离）作无效标处理。</w:t>
            </w:r>
          </w:p>
        </w:tc>
        <w:tc>
          <w:tcPr>
            <w:tcW w:w="802" w:type="dxa"/>
            <w:tcBorders>
              <w:top w:val="single" w:color="000000" w:sz="2" w:space="0"/>
              <w:left w:val="single" w:color="000000" w:sz="2" w:space="0"/>
              <w:bottom w:val="single" w:color="auto" w:sz="4" w:space="0"/>
              <w:right w:val="single" w:color="000000" w:sz="2" w:space="0"/>
            </w:tcBorders>
            <w:vAlign w:val="center"/>
          </w:tcPr>
          <w:p>
            <w:pPr>
              <w:autoSpaceDE w:val="0"/>
              <w:spacing w:line="360" w:lineRule="auto"/>
              <w:jc w:val="center"/>
              <w:textAlignment w:val="baseline"/>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15分</w:t>
            </w:r>
          </w:p>
        </w:tc>
      </w:tr>
      <w:tr>
        <w:tblPrEx>
          <w:tblCellMar>
            <w:top w:w="0" w:type="dxa"/>
            <w:left w:w="0" w:type="dxa"/>
            <w:bottom w:w="0" w:type="dxa"/>
            <w:right w:w="0" w:type="dxa"/>
          </w:tblCellMar>
        </w:tblPrEx>
        <w:trPr>
          <w:cantSplit/>
          <w:trHeight w:val="352" w:hRule="atLeast"/>
          <w:jc w:val="center"/>
        </w:trPr>
        <w:tc>
          <w:tcPr>
            <w:tcW w:w="1229" w:type="dxa"/>
            <w:tcBorders>
              <w:top w:val="single" w:color="000000" w:sz="2" w:space="0"/>
              <w:left w:val="single" w:color="000000" w:sz="2" w:space="0"/>
              <w:bottom w:val="single" w:color="auto" w:sz="4" w:space="0"/>
              <w:right w:val="single" w:color="000000" w:sz="2" w:space="0"/>
            </w:tcBorders>
            <w:vAlign w:val="center"/>
          </w:tcPr>
          <w:p>
            <w:pPr>
              <w:autoSpaceDE w:val="0"/>
              <w:spacing w:line="360" w:lineRule="auto"/>
              <w:jc w:val="center"/>
              <w:textAlignment w:val="baseline"/>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评分细则</w:t>
            </w:r>
          </w:p>
        </w:tc>
        <w:tc>
          <w:tcPr>
            <w:tcW w:w="7881" w:type="dxa"/>
            <w:tcBorders>
              <w:top w:val="single" w:color="000000" w:sz="2" w:space="0"/>
              <w:left w:val="single" w:color="000000" w:sz="2" w:space="0"/>
              <w:bottom w:val="single" w:color="auto" w:sz="4" w:space="0"/>
              <w:right w:val="single" w:color="000000" w:sz="2" w:space="0"/>
            </w:tcBorders>
            <w:vAlign w:val="center"/>
          </w:tcPr>
          <w:p>
            <w:pPr>
              <w:autoSpaceDE w:val="0"/>
              <w:spacing w:line="360" w:lineRule="auto"/>
              <w:textAlignment w:val="baseline"/>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针对各投标单位提供的优势技术加分条款进行评分，优势技术合理、完善且符合政府法律法规的得10-15，优势技术较合理、完善且符合政府法律法规的的得5-10，优势技术合理及完善性一般的得0-5，差或未提供的不得分。</w:t>
            </w:r>
          </w:p>
        </w:tc>
        <w:tc>
          <w:tcPr>
            <w:tcW w:w="802" w:type="dxa"/>
            <w:tcBorders>
              <w:top w:val="single" w:color="000000" w:sz="2" w:space="0"/>
              <w:left w:val="single" w:color="000000" w:sz="2" w:space="0"/>
              <w:bottom w:val="single" w:color="auto" w:sz="4" w:space="0"/>
              <w:right w:val="single" w:color="000000" w:sz="2" w:space="0"/>
            </w:tcBorders>
            <w:vAlign w:val="center"/>
          </w:tcPr>
          <w:p>
            <w:pPr>
              <w:autoSpaceDE w:val="0"/>
              <w:spacing w:line="360" w:lineRule="auto"/>
              <w:jc w:val="center"/>
              <w:textAlignment w:val="baseline"/>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15分</w:t>
            </w:r>
          </w:p>
        </w:tc>
      </w:tr>
      <w:tr>
        <w:tblPrEx>
          <w:tblCellMar>
            <w:top w:w="0" w:type="dxa"/>
            <w:left w:w="0" w:type="dxa"/>
            <w:bottom w:w="0" w:type="dxa"/>
            <w:right w:w="0" w:type="dxa"/>
          </w:tblCellMar>
        </w:tblPrEx>
        <w:trPr>
          <w:cantSplit/>
          <w:trHeight w:val="90" w:hRule="atLeast"/>
          <w:jc w:val="center"/>
        </w:trPr>
        <w:tc>
          <w:tcPr>
            <w:tcW w:w="1229" w:type="dxa"/>
            <w:tcBorders>
              <w:top w:val="single" w:color="000000" w:sz="2" w:space="0"/>
              <w:left w:val="single" w:color="000000" w:sz="2" w:space="0"/>
              <w:bottom w:val="single" w:color="auto" w:sz="4" w:space="0"/>
              <w:right w:val="single" w:color="000000" w:sz="2" w:space="0"/>
            </w:tcBorders>
            <w:vAlign w:val="center"/>
          </w:tcPr>
          <w:p>
            <w:pPr>
              <w:autoSpaceDE w:val="0"/>
              <w:spacing w:line="360" w:lineRule="auto"/>
              <w:jc w:val="center"/>
              <w:textAlignment w:val="baseline"/>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i w:val="0"/>
                <w:iCs w:val="0"/>
                <w:caps w:val="0"/>
                <w:color w:val="333333"/>
                <w:spacing w:val="0"/>
                <w:kern w:val="0"/>
                <w:sz w:val="24"/>
                <w:szCs w:val="24"/>
                <w:shd w:val="clear" w:fill="FFFFFF"/>
              </w:rPr>
              <w:t>服务方案</w:t>
            </w:r>
          </w:p>
        </w:tc>
        <w:tc>
          <w:tcPr>
            <w:tcW w:w="7881" w:type="dxa"/>
            <w:tcBorders>
              <w:top w:val="single" w:color="000000" w:sz="2" w:space="0"/>
              <w:left w:val="single" w:color="000000" w:sz="2" w:space="0"/>
              <w:bottom w:val="single" w:color="auto" w:sz="4" w:space="0"/>
              <w:right w:val="single" w:color="000000" w:sz="2" w:space="0"/>
            </w:tcBorders>
          </w:tcPr>
          <w:p>
            <w:pPr>
              <w:autoSpaceDE w:val="0"/>
              <w:spacing w:line="360" w:lineRule="auto"/>
              <w:textAlignment w:val="baseline"/>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针对各投标单位提供的服务方案进行评分，服务方案合理、完善且符合政府法律法规的得4-5，服务方案较合理、完善且符合政府法律法规的得2-3，服务方案合理及完善性一般的得0-1，差或未提供的不得分。</w:t>
            </w:r>
          </w:p>
        </w:tc>
        <w:tc>
          <w:tcPr>
            <w:tcW w:w="802" w:type="dxa"/>
            <w:tcBorders>
              <w:top w:val="single" w:color="000000" w:sz="2" w:space="0"/>
              <w:left w:val="single" w:color="000000" w:sz="2" w:space="0"/>
              <w:bottom w:val="single" w:color="000000" w:sz="2" w:space="0"/>
              <w:right w:val="single" w:color="000000" w:sz="2" w:space="0"/>
            </w:tcBorders>
            <w:vAlign w:val="center"/>
          </w:tcPr>
          <w:p>
            <w:pPr>
              <w:autoSpaceDE w:val="0"/>
              <w:spacing w:line="360" w:lineRule="auto"/>
              <w:jc w:val="center"/>
              <w:textAlignment w:val="baseline"/>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5分</w:t>
            </w:r>
          </w:p>
        </w:tc>
      </w:tr>
      <w:tr>
        <w:tblPrEx>
          <w:tblCellMar>
            <w:top w:w="0" w:type="dxa"/>
            <w:left w:w="0" w:type="dxa"/>
            <w:bottom w:w="0" w:type="dxa"/>
            <w:right w:w="0" w:type="dxa"/>
          </w:tblCellMar>
        </w:tblPrEx>
        <w:trPr>
          <w:cantSplit/>
          <w:trHeight w:val="592" w:hRule="atLeast"/>
          <w:jc w:val="center"/>
        </w:trPr>
        <w:tc>
          <w:tcPr>
            <w:tcW w:w="9912" w:type="dxa"/>
            <w:gridSpan w:val="3"/>
            <w:tcBorders>
              <w:top w:val="single" w:color="000000" w:sz="2" w:space="0"/>
              <w:left w:val="single" w:color="000000" w:sz="2" w:space="0"/>
              <w:bottom w:val="single" w:color="000000" w:sz="2" w:space="0"/>
              <w:right w:val="single" w:color="000000" w:sz="2" w:space="0"/>
            </w:tcBorders>
            <w:vAlign w:val="center"/>
          </w:tcPr>
          <w:p>
            <w:pPr>
              <w:autoSpaceDE w:val="0"/>
              <w:spacing w:line="360" w:lineRule="auto"/>
              <w:jc w:val="center"/>
              <w:textAlignment w:val="baseline"/>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rPr>
              <w:t>（三）商务评审标准（</w:t>
            </w:r>
            <w:r>
              <w:rPr>
                <w:rFonts w:hint="eastAsia" w:ascii="宋体" w:hAnsi="宋体" w:cs="宋体"/>
                <w:b w:val="0"/>
                <w:bCs w:val="0"/>
                <w:color w:val="auto"/>
                <w:kern w:val="0"/>
                <w:sz w:val="24"/>
                <w:szCs w:val="24"/>
                <w:highlight w:val="none"/>
                <w:lang w:val="en-US" w:eastAsia="zh-CN"/>
              </w:rPr>
              <w:t>15</w:t>
            </w:r>
            <w:r>
              <w:rPr>
                <w:rFonts w:hint="eastAsia" w:ascii="宋体" w:hAnsi="宋体" w:eastAsia="宋体" w:cs="宋体"/>
                <w:b w:val="0"/>
                <w:bCs w:val="0"/>
                <w:color w:val="auto"/>
                <w:kern w:val="0"/>
                <w:sz w:val="24"/>
                <w:szCs w:val="24"/>
                <w:highlight w:val="none"/>
              </w:rPr>
              <w:t>分）</w:t>
            </w:r>
          </w:p>
        </w:tc>
      </w:tr>
      <w:tr>
        <w:tblPrEx>
          <w:tblCellMar>
            <w:top w:w="0" w:type="dxa"/>
            <w:left w:w="0" w:type="dxa"/>
            <w:bottom w:w="0" w:type="dxa"/>
            <w:right w:w="0" w:type="dxa"/>
          </w:tblCellMar>
        </w:tblPrEx>
        <w:trPr>
          <w:cantSplit/>
          <w:trHeight w:val="870" w:hRule="atLeast"/>
          <w:jc w:val="center"/>
        </w:trPr>
        <w:tc>
          <w:tcPr>
            <w:tcW w:w="1229" w:type="dxa"/>
            <w:tcBorders>
              <w:top w:val="single" w:color="000000" w:sz="2" w:space="0"/>
              <w:left w:val="single" w:color="000000" w:sz="2" w:space="0"/>
              <w:bottom w:val="single" w:color="000000" w:sz="2" w:space="0"/>
              <w:right w:val="single" w:color="000000" w:sz="2" w:space="0"/>
            </w:tcBorders>
            <w:vAlign w:val="center"/>
          </w:tcPr>
          <w:p>
            <w:pPr>
              <w:autoSpaceDE w:val="0"/>
              <w:spacing w:line="360" w:lineRule="auto"/>
              <w:jc w:val="center"/>
              <w:textAlignment w:val="baseline"/>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商务要求</w:t>
            </w:r>
          </w:p>
        </w:tc>
        <w:tc>
          <w:tcPr>
            <w:tcW w:w="7881" w:type="dxa"/>
            <w:tcBorders>
              <w:top w:val="single" w:color="000000" w:sz="2" w:space="0"/>
              <w:left w:val="single" w:color="000000" w:sz="2" w:space="0"/>
              <w:bottom w:val="single" w:color="000000" w:sz="2" w:space="0"/>
              <w:right w:val="single" w:color="000000" w:sz="2" w:space="0"/>
            </w:tcBorders>
          </w:tcPr>
          <w:p>
            <w:pPr>
              <w:autoSpaceDE w:val="0"/>
              <w:spacing w:line="360" w:lineRule="auto"/>
              <w:textAlignment w:val="baseline"/>
              <w:rPr>
                <w:rFonts w:hint="default" w:ascii="宋体" w:hAnsi="宋体" w:eastAsia="宋体" w:cs="宋体"/>
                <w:b w:val="0"/>
                <w:bCs w:val="0"/>
                <w:snapToGrid w:val="0"/>
                <w:color w:val="auto"/>
                <w:spacing w:val="0"/>
                <w:kern w:val="0"/>
                <w:sz w:val="24"/>
                <w:szCs w:val="24"/>
                <w:highlight w:val="none"/>
                <w:lang w:val="en-US" w:eastAsia="zh-CN" w:bidi="ar-SA"/>
              </w:rPr>
            </w:pPr>
            <w:r>
              <w:rPr>
                <w:rFonts w:hint="eastAsia" w:ascii="宋体" w:hAnsi="宋体" w:eastAsia="宋体" w:cs="宋体"/>
                <w:b w:val="0"/>
                <w:bCs w:val="0"/>
                <w:snapToGrid w:val="0"/>
                <w:color w:val="auto"/>
                <w:spacing w:val="0"/>
                <w:kern w:val="0"/>
                <w:sz w:val="24"/>
                <w:szCs w:val="24"/>
                <w:highlight w:val="none"/>
                <w:lang w:val="en-US" w:eastAsia="zh-CN" w:bidi="ar-SA"/>
              </w:rPr>
              <w:t>1、针对各投标单位提供的商务要求进行评分，</w:t>
            </w:r>
            <w:r>
              <w:rPr>
                <w:rFonts w:hint="eastAsia" w:ascii="宋体" w:hAnsi="宋体" w:eastAsia="宋体" w:cs="宋体"/>
                <w:b w:val="0"/>
                <w:bCs w:val="0"/>
                <w:color w:val="auto"/>
                <w:kern w:val="0"/>
                <w:sz w:val="24"/>
                <w:szCs w:val="24"/>
                <w:highlight w:val="none"/>
                <w:lang w:eastAsia="zh-CN"/>
              </w:rPr>
              <w:t>商务要求</w:t>
            </w:r>
            <w:r>
              <w:rPr>
                <w:rFonts w:hint="eastAsia" w:hAnsi="宋体" w:cs="宋体"/>
                <w:b w:val="0"/>
                <w:bCs w:val="0"/>
                <w:snapToGrid w:val="0"/>
                <w:color w:val="auto"/>
                <w:sz w:val="24"/>
                <w:szCs w:val="24"/>
                <w:highlight w:val="none"/>
                <w:lang w:val="en-US" w:eastAsia="zh-CN" w:bidi="ar-SA"/>
              </w:rPr>
              <w:t>完善、合理能满足全部要求</w:t>
            </w:r>
            <w:r>
              <w:rPr>
                <w:rFonts w:hint="eastAsia" w:ascii="宋体" w:hAnsi="宋体" w:eastAsia="宋体" w:cs="宋体"/>
                <w:b w:val="0"/>
                <w:bCs w:val="0"/>
                <w:snapToGrid w:val="0"/>
                <w:color w:val="auto"/>
                <w:sz w:val="24"/>
                <w:szCs w:val="24"/>
                <w:highlight w:val="none"/>
                <w:lang w:val="en-US" w:eastAsia="zh-CN" w:bidi="ar-SA"/>
              </w:rPr>
              <w:t>的得</w:t>
            </w:r>
            <w:r>
              <w:rPr>
                <w:rFonts w:hint="eastAsia" w:ascii="宋体" w:hAnsi="宋体" w:eastAsia="宋体" w:cs="宋体"/>
                <w:b w:val="0"/>
                <w:bCs w:val="0"/>
                <w:snapToGrid w:val="0"/>
                <w:color w:val="auto"/>
                <w:spacing w:val="0"/>
                <w:kern w:val="0"/>
                <w:sz w:val="24"/>
                <w:szCs w:val="24"/>
                <w:highlight w:val="none"/>
                <w:lang w:val="en-US" w:eastAsia="zh-CN" w:bidi="ar-SA"/>
              </w:rPr>
              <w:t>7-10，</w:t>
            </w:r>
            <w:r>
              <w:rPr>
                <w:rFonts w:hint="eastAsia" w:ascii="宋体" w:hAnsi="宋体" w:eastAsia="宋体" w:cs="宋体"/>
                <w:b w:val="0"/>
                <w:bCs w:val="0"/>
                <w:color w:val="auto"/>
                <w:kern w:val="0"/>
                <w:sz w:val="24"/>
                <w:szCs w:val="24"/>
                <w:highlight w:val="none"/>
                <w:lang w:eastAsia="zh-CN"/>
              </w:rPr>
              <w:t>商务要求</w:t>
            </w:r>
            <w:r>
              <w:rPr>
                <w:rFonts w:hint="eastAsia" w:ascii="宋体" w:hAnsi="宋体" w:eastAsia="宋体" w:cs="宋体"/>
                <w:b w:val="0"/>
                <w:bCs w:val="0"/>
                <w:color w:val="auto"/>
                <w:kern w:val="0"/>
                <w:sz w:val="24"/>
                <w:szCs w:val="24"/>
                <w:highlight w:val="none"/>
                <w:lang w:val="en-US" w:eastAsia="zh-CN"/>
              </w:rPr>
              <w:t>较</w:t>
            </w:r>
            <w:r>
              <w:rPr>
                <w:rFonts w:hint="eastAsia" w:hAnsi="宋体" w:cs="宋体"/>
                <w:b w:val="0"/>
                <w:bCs w:val="0"/>
                <w:snapToGrid w:val="0"/>
                <w:color w:val="auto"/>
                <w:sz w:val="24"/>
                <w:szCs w:val="24"/>
                <w:highlight w:val="none"/>
                <w:lang w:val="en-US" w:eastAsia="zh-CN" w:bidi="ar-SA"/>
              </w:rPr>
              <w:t>完善、合理能满足全部要求</w:t>
            </w:r>
            <w:r>
              <w:rPr>
                <w:rFonts w:hint="eastAsia" w:ascii="宋体" w:hAnsi="宋体" w:eastAsia="宋体" w:cs="宋体"/>
                <w:b w:val="0"/>
                <w:bCs w:val="0"/>
                <w:snapToGrid w:val="0"/>
                <w:color w:val="auto"/>
                <w:sz w:val="24"/>
                <w:szCs w:val="24"/>
                <w:highlight w:val="none"/>
                <w:lang w:val="en-US" w:eastAsia="zh-CN" w:bidi="ar-SA"/>
              </w:rPr>
              <w:t>的得</w:t>
            </w:r>
            <w:r>
              <w:rPr>
                <w:rFonts w:hint="eastAsia" w:ascii="宋体" w:hAnsi="宋体" w:eastAsia="宋体" w:cs="宋体"/>
                <w:b w:val="0"/>
                <w:bCs w:val="0"/>
                <w:snapToGrid w:val="0"/>
                <w:color w:val="auto"/>
                <w:spacing w:val="0"/>
                <w:kern w:val="0"/>
                <w:sz w:val="24"/>
                <w:szCs w:val="24"/>
                <w:highlight w:val="none"/>
                <w:lang w:val="en-US" w:eastAsia="zh-CN" w:bidi="ar-SA"/>
              </w:rPr>
              <w:t>4-6，</w:t>
            </w:r>
            <w:r>
              <w:rPr>
                <w:rFonts w:hint="eastAsia" w:ascii="宋体" w:hAnsi="宋体" w:eastAsia="宋体" w:cs="宋体"/>
                <w:b w:val="0"/>
                <w:bCs w:val="0"/>
                <w:color w:val="auto"/>
                <w:kern w:val="0"/>
                <w:sz w:val="24"/>
                <w:szCs w:val="24"/>
                <w:highlight w:val="none"/>
                <w:lang w:eastAsia="zh-CN"/>
              </w:rPr>
              <w:t>商务要求</w:t>
            </w:r>
            <w:r>
              <w:rPr>
                <w:rFonts w:hint="eastAsia" w:hAnsi="宋体" w:cs="宋体"/>
                <w:b w:val="0"/>
                <w:bCs w:val="0"/>
                <w:snapToGrid w:val="0"/>
                <w:color w:val="auto"/>
                <w:sz w:val="24"/>
                <w:szCs w:val="24"/>
                <w:highlight w:val="none"/>
                <w:lang w:val="en-US" w:eastAsia="zh-CN" w:bidi="ar-SA"/>
              </w:rPr>
              <w:t>合理及完善性</w:t>
            </w:r>
            <w:r>
              <w:rPr>
                <w:rFonts w:hint="eastAsia" w:ascii="宋体" w:hAnsi="宋体" w:eastAsia="宋体" w:cs="宋体"/>
                <w:b w:val="0"/>
                <w:bCs w:val="0"/>
                <w:snapToGrid w:val="0"/>
                <w:color w:val="auto"/>
                <w:sz w:val="24"/>
                <w:szCs w:val="24"/>
                <w:highlight w:val="none"/>
                <w:lang w:val="en-US" w:eastAsia="zh-CN" w:bidi="ar-SA"/>
              </w:rPr>
              <w:t>一般的得</w:t>
            </w:r>
            <w:r>
              <w:rPr>
                <w:rFonts w:hint="eastAsia" w:ascii="宋体" w:hAnsi="宋体" w:eastAsia="宋体" w:cs="宋体"/>
                <w:b w:val="0"/>
                <w:bCs w:val="0"/>
                <w:snapToGrid w:val="0"/>
                <w:color w:val="auto"/>
                <w:spacing w:val="0"/>
                <w:kern w:val="0"/>
                <w:sz w:val="24"/>
                <w:szCs w:val="24"/>
                <w:highlight w:val="none"/>
                <w:lang w:val="en-US" w:eastAsia="zh-CN" w:bidi="ar-SA"/>
              </w:rPr>
              <w:t>0-3，差或未提供的不得分。</w:t>
            </w:r>
          </w:p>
        </w:tc>
        <w:tc>
          <w:tcPr>
            <w:tcW w:w="802" w:type="dxa"/>
            <w:tcBorders>
              <w:top w:val="single" w:color="000000" w:sz="2" w:space="0"/>
              <w:left w:val="single" w:color="000000" w:sz="2" w:space="0"/>
              <w:bottom w:val="single" w:color="000000" w:sz="2" w:space="0"/>
              <w:right w:val="single" w:color="000000" w:sz="2" w:space="0"/>
            </w:tcBorders>
            <w:vAlign w:val="center"/>
          </w:tcPr>
          <w:p>
            <w:pPr>
              <w:autoSpaceDE w:val="0"/>
              <w:spacing w:line="360" w:lineRule="auto"/>
              <w:jc w:val="center"/>
              <w:textAlignment w:val="baseline"/>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10分</w:t>
            </w:r>
          </w:p>
        </w:tc>
      </w:tr>
      <w:tr>
        <w:tblPrEx>
          <w:tblCellMar>
            <w:top w:w="0" w:type="dxa"/>
            <w:left w:w="0" w:type="dxa"/>
            <w:bottom w:w="0" w:type="dxa"/>
            <w:right w:w="0" w:type="dxa"/>
          </w:tblCellMar>
        </w:tblPrEx>
        <w:trPr>
          <w:cantSplit/>
          <w:trHeight w:val="598" w:hRule="atLeast"/>
          <w:jc w:val="center"/>
        </w:trPr>
        <w:tc>
          <w:tcPr>
            <w:tcW w:w="1229"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88" w:lineRule="auto"/>
              <w:ind w:firstLine="240" w:firstLineChars="100"/>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售后服务</w:t>
            </w:r>
          </w:p>
        </w:tc>
        <w:tc>
          <w:tcPr>
            <w:tcW w:w="788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6"/>
              <w:rPr>
                <w:rFonts w:hint="default" w:ascii="宋体" w:hAnsi="宋体" w:eastAsia="宋体" w:cs="宋体"/>
                <w:b w:val="0"/>
                <w:bCs w:val="0"/>
                <w:snapToGrid w:val="0"/>
                <w:color w:val="auto"/>
                <w:spacing w:val="0"/>
                <w:kern w:val="0"/>
                <w:sz w:val="24"/>
                <w:szCs w:val="24"/>
                <w:highlight w:val="none"/>
                <w:lang w:val="en-US" w:eastAsia="zh-CN" w:bidi="ar-SA"/>
              </w:rPr>
            </w:pPr>
            <w:r>
              <w:rPr>
                <w:rFonts w:hint="eastAsia" w:ascii="宋体" w:hAnsi="宋体" w:eastAsia="宋体" w:cs="宋体"/>
                <w:b w:val="0"/>
                <w:bCs w:val="0"/>
                <w:snapToGrid w:val="0"/>
                <w:color w:val="auto"/>
                <w:spacing w:val="0"/>
                <w:kern w:val="0"/>
                <w:sz w:val="24"/>
                <w:szCs w:val="24"/>
                <w:highlight w:val="none"/>
                <w:lang w:val="en-US" w:eastAsia="zh-CN" w:bidi="ar-SA"/>
              </w:rPr>
              <w:t>1、针对各投标单位提供的售后服务进行评分，</w:t>
            </w:r>
            <w:r>
              <w:rPr>
                <w:rFonts w:hint="eastAsia" w:ascii="宋体" w:hAnsi="宋体" w:eastAsia="宋体" w:cs="宋体"/>
                <w:b w:val="0"/>
                <w:bCs w:val="0"/>
                <w:color w:val="auto"/>
                <w:kern w:val="0"/>
                <w:sz w:val="24"/>
                <w:szCs w:val="24"/>
                <w:highlight w:val="none"/>
                <w:lang w:val="en-US" w:eastAsia="zh-CN"/>
              </w:rPr>
              <w:t>售后服务</w:t>
            </w:r>
            <w:r>
              <w:rPr>
                <w:rFonts w:hint="eastAsia" w:ascii="宋体" w:hAnsi="宋体" w:eastAsia="宋体" w:cs="宋体"/>
                <w:b w:val="0"/>
                <w:bCs w:val="0"/>
                <w:color w:val="auto"/>
                <w:sz w:val="24"/>
                <w:szCs w:val="24"/>
                <w:highlight w:val="none"/>
                <w:lang w:val="en-US" w:eastAsia="zh-CN"/>
              </w:rPr>
              <w:t>合理、完善且符合政府法律法规的得4-5，</w:t>
            </w:r>
            <w:r>
              <w:rPr>
                <w:rFonts w:hint="eastAsia" w:ascii="宋体" w:hAnsi="宋体" w:eastAsia="宋体" w:cs="宋体"/>
                <w:b w:val="0"/>
                <w:bCs w:val="0"/>
                <w:color w:val="auto"/>
                <w:kern w:val="0"/>
                <w:sz w:val="24"/>
                <w:szCs w:val="24"/>
                <w:highlight w:val="none"/>
                <w:lang w:val="en-US" w:eastAsia="zh-CN"/>
              </w:rPr>
              <w:t>售后服务</w:t>
            </w:r>
            <w:r>
              <w:rPr>
                <w:rFonts w:hint="eastAsia" w:ascii="宋体" w:hAnsi="宋体" w:eastAsia="宋体" w:cs="宋体"/>
                <w:b w:val="0"/>
                <w:bCs w:val="0"/>
                <w:color w:val="auto"/>
                <w:sz w:val="24"/>
                <w:szCs w:val="24"/>
                <w:highlight w:val="none"/>
                <w:lang w:val="en-US" w:eastAsia="zh-CN"/>
              </w:rPr>
              <w:t>较合理、完善且符合政府法律法规的得2-3，</w:t>
            </w:r>
            <w:r>
              <w:rPr>
                <w:rFonts w:hint="eastAsia" w:ascii="宋体" w:hAnsi="宋体" w:eastAsia="宋体" w:cs="宋体"/>
                <w:b w:val="0"/>
                <w:bCs w:val="0"/>
                <w:color w:val="auto"/>
                <w:kern w:val="0"/>
                <w:sz w:val="24"/>
                <w:szCs w:val="24"/>
                <w:highlight w:val="none"/>
                <w:lang w:val="en-US" w:eastAsia="zh-CN"/>
              </w:rPr>
              <w:t>售后服务</w:t>
            </w:r>
            <w:r>
              <w:rPr>
                <w:rFonts w:hint="eastAsia" w:ascii="宋体" w:hAnsi="宋体" w:eastAsia="宋体" w:cs="宋体"/>
                <w:b w:val="0"/>
                <w:bCs w:val="0"/>
                <w:color w:val="auto"/>
                <w:sz w:val="24"/>
                <w:szCs w:val="24"/>
                <w:highlight w:val="none"/>
                <w:lang w:val="en-US" w:eastAsia="zh-CN"/>
              </w:rPr>
              <w:t>合理及完善性一般的得0-1，差或未提供的不得分。</w:t>
            </w:r>
          </w:p>
        </w:tc>
        <w:tc>
          <w:tcPr>
            <w:tcW w:w="802" w:type="dxa"/>
            <w:tcBorders>
              <w:top w:val="single" w:color="000000" w:sz="2" w:space="0"/>
              <w:left w:val="single" w:color="000000" w:sz="2" w:space="0"/>
              <w:bottom w:val="single" w:color="000000" w:sz="2" w:space="0"/>
              <w:right w:val="single" w:color="000000" w:sz="2" w:space="0"/>
            </w:tcBorders>
            <w:shd w:val="clear" w:color="auto" w:fill="auto"/>
            <w:vAlign w:val="center"/>
          </w:tcPr>
          <w:p>
            <w:pPr>
              <w:spacing w:line="288" w:lineRule="auto"/>
              <w:ind w:firstLine="240" w:firstLineChars="100"/>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5分</w:t>
            </w:r>
          </w:p>
        </w:tc>
      </w:tr>
    </w:tbl>
    <w:p>
      <w:pPr>
        <w:spacing w:before="31" w:beforeLines="10" w:after="31" w:afterLines="10" w:line="276"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评分说明：</w:t>
      </w:r>
    </w:p>
    <w:p>
      <w:pPr>
        <w:spacing w:line="36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1、综合评分（精确到小数点后两位）=商务得分+技术得分+价格得分；</w:t>
      </w:r>
    </w:p>
    <w:p>
      <w:pPr>
        <w:spacing w:line="360" w:lineRule="auto"/>
        <w:ind w:firstLine="470" w:firstLineChars="196"/>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2、评分标准中评分因素所涉及的有关资料，投标人须在投标文件中提供</w:t>
      </w:r>
      <w:r>
        <w:rPr>
          <w:rFonts w:hint="eastAsia" w:ascii="宋体" w:hAnsi="宋体" w:eastAsia="宋体" w:cs="宋体"/>
          <w:color w:val="auto"/>
          <w:sz w:val="24"/>
          <w:szCs w:val="24"/>
          <w:highlight w:val="none"/>
          <w:lang w:eastAsia="zh-CN"/>
        </w:rPr>
        <w:t>。</w:t>
      </w:r>
    </w:p>
    <w:p>
      <w:pPr>
        <w:spacing w:line="36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评标专家组根据招标文件对各投标人的投标文件中产品技术响应情况、商务与服务响应情况进行评审和综合评估并打分；评标专家组成员打分时不得协商，应独立完成。根据评标专家组的综合打分结果，得出预中标人排序。</w:t>
      </w:r>
    </w:p>
    <w:p>
      <w:pPr>
        <w:pStyle w:val="3"/>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517FD2"/>
    <w:multiLevelType w:val="singleLevel"/>
    <w:tmpl w:val="44517FD2"/>
    <w:lvl w:ilvl="0" w:tentative="0">
      <w:start w:val="1"/>
      <w:numFmt w:val="decimal"/>
      <w:suff w:val="nothing"/>
      <w:lvlText w:val="%1、"/>
      <w:lvlJc w:val="left"/>
    </w:lvl>
  </w:abstractNum>
  <w:abstractNum w:abstractNumId="1">
    <w:nsid w:val="49394BBF"/>
    <w:multiLevelType w:val="singleLevel"/>
    <w:tmpl w:val="49394BB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OGM0ZTRiODFhMmIzYTJhNDBjYTliZGE2OTFhYzQifQ=="/>
  </w:docVars>
  <w:rsids>
    <w:rsidRoot w:val="2D2C0881"/>
    <w:rsid w:val="2D2C08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4"/>
      <w:szCs w:val="24"/>
      <w:lang w:val="zh-CN" w:bidi="zh-CN"/>
    </w:rPr>
  </w:style>
  <w:style w:type="paragraph" w:styleId="3">
    <w:name w:val="Plain Text"/>
    <w:basedOn w:val="1"/>
    <w:next w:val="1"/>
    <w:qFormat/>
    <w:uiPriority w:val="0"/>
    <w:rPr>
      <w:rFonts w:ascii="宋体" w:hAnsi="Courier New" w:eastAsia="宋体"/>
    </w:rPr>
  </w:style>
  <w:style w:type="paragraph" w:customStyle="1" w:styleId="6">
    <w:name w:val="表格文字"/>
    <w:basedOn w:val="1"/>
    <w:next w:val="1"/>
    <w:qFormat/>
    <w:uiPriority w:val="0"/>
    <w:pPr>
      <w:spacing w:before="25" w:after="25"/>
    </w:pPr>
    <w:rPr>
      <w:bCs/>
      <w:spacing w:val="10"/>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2024-03-08T04:53:00Z</dcterms:created>
  <dc:creator>apple</dc:creator>
  <cp:lastModifiedBy>apple</cp:lastModifiedBy>
  <dcterms:modified xsi:type="dcterms:W3CDTF">2024-03-08T04:53:47Z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8DDD1423BF42462289D32FED3A61CEF0_11</vt:lpwstr>
  </property>
</Properties>
</file>