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400" w:lineRule="exact"/>
        <w:jc w:val="center"/>
        <w:rPr>
          <w:rFonts w:cs="微软雅黑" w:asciiTheme="minorEastAsia" w:hAnsiTheme="minorEastAsia"/>
          <w:b/>
          <w:color w:val="000000"/>
          <w:sz w:val="36"/>
          <w:szCs w:val="36"/>
        </w:rPr>
      </w:pPr>
      <w:r>
        <w:rPr>
          <w:rFonts w:hint="eastAsia" w:cs="微软雅黑" w:asciiTheme="minorEastAsia" w:hAnsiTheme="minorEastAsia"/>
          <w:b/>
          <w:color w:val="000000"/>
          <w:sz w:val="36"/>
          <w:szCs w:val="36"/>
          <w:shd w:val="clear" w:color="auto" w:fill="FFFFFF"/>
        </w:rPr>
        <w:t>樟树市2022年财政直达资金目录</w:t>
      </w:r>
    </w:p>
    <w:p>
      <w:pPr>
        <w:spacing w:line="300" w:lineRule="exact"/>
        <w:rPr>
          <w:rFonts w:asciiTheme="minorEastAsia" w:hAnsiTheme="minorEastAsia"/>
          <w:szCs w:val="21"/>
        </w:rPr>
      </w:pPr>
    </w:p>
    <w:tbl>
      <w:tblPr>
        <w:tblStyle w:val="8"/>
        <w:tblW w:w="8885" w:type="dxa"/>
        <w:jc w:val="center"/>
        <w:tblLayout w:type="autofit"/>
        <w:tblCellMar>
          <w:top w:w="0" w:type="dxa"/>
          <w:left w:w="0" w:type="dxa"/>
          <w:bottom w:w="0" w:type="dxa"/>
          <w:right w:w="0" w:type="dxa"/>
        </w:tblCellMar>
      </w:tblPr>
      <w:tblGrid>
        <w:gridCol w:w="670"/>
        <w:gridCol w:w="1830"/>
        <w:gridCol w:w="1821"/>
        <w:gridCol w:w="4564"/>
      </w:tblGrid>
      <w:tr>
        <w:trPr>
          <w:trHeight w:val="567" w:hRule="exac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序号</w:t>
            </w:r>
          </w:p>
        </w:tc>
        <w:tc>
          <w:tcPr>
            <w:tcW w:w="1830"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资金名称</w:t>
            </w:r>
          </w:p>
        </w:tc>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主管部门</w:t>
            </w:r>
          </w:p>
        </w:tc>
        <w:tc>
          <w:tcPr>
            <w:tcW w:w="4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 w:val="28"/>
                <w:szCs w:val="28"/>
              </w:rPr>
            </w:pPr>
            <w:r>
              <w:rPr>
                <w:rFonts w:cs="宋体" w:asciiTheme="minorEastAsia" w:hAnsiTheme="minorEastAsia"/>
                <w:b/>
                <w:color w:val="000000"/>
                <w:kern w:val="0"/>
                <w:sz w:val="28"/>
                <w:szCs w:val="28"/>
              </w:rPr>
              <w:t>资金使用范围和方向</w:t>
            </w:r>
          </w:p>
        </w:tc>
      </w:tr>
      <w:tr>
        <w:tblPrEx>
          <w:tblCellMar>
            <w:top w:w="0" w:type="dxa"/>
            <w:left w:w="0" w:type="dxa"/>
            <w:bottom w:w="0" w:type="dxa"/>
            <w:right w:w="0" w:type="dxa"/>
          </w:tblCellMar>
        </w:tblPrEx>
        <w:trPr>
          <w:trHeight w:val="300"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c>
          <w:tcPr>
            <w:tcW w:w="1830" w:type="dxa"/>
            <w:vMerge w:val="continue"/>
            <w:tcBorders>
              <w:top w:val="single" w:color="000000" w:sz="4" w:space="0"/>
              <w:left w:val="single" w:color="000000" w:sz="4" w:space="0"/>
              <w:bottom w:val="single" w:color="000000" w:sz="4" w:space="0"/>
              <w:right w:val="nil"/>
            </w:tcBorders>
            <w:shd w:val="clear" w:color="auto" w:fill="auto"/>
            <w:vAlign w:val="center"/>
          </w:tcPr>
          <w:p>
            <w:pPr>
              <w:spacing w:line="300" w:lineRule="exact"/>
              <w:jc w:val="center"/>
              <w:rPr>
                <w:rFonts w:asciiTheme="minorEastAsia" w:hAnsiTheme="minorEastAsia"/>
                <w:b/>
                <w:color w:val="000000"/>
                <w:szCs w:val="21"/>
              </w:rPr>
            </w:pPr>
          </w:p>
        </w:tc>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c>
          <w:tcPr>
            <w:tcW w:w="4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heme="minorEastAsia" w:hAnsiTheme="minorEastAsia"/>
                <w:b/>
                <w:color w:val="000000"/>
                <w:szCs w:val="21"/>
              </w:rPr>
            </w:pPr>
          </w:p>
        </w:tc>
      </w:tr>
      <w:tr>
        <w:tblPrEx>
          <w:tblCellMar>
            <w:top w:w="0" w:type="dxa"/>
            <w:left w:w="0" w:type="dxa"/>
            <w:bottom w:w="0" w:type="dxa"/>
            <w:right w:w="0" w:type="dxa"/>
          </w:tblCellMar>
        </w:tblPrEx>
        <w:trPr>
          <w:trHeight w:val="381"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b/>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直达资金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b/>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共同财政事权转移支付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基本公共卫生服务补助资金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支持基本公共卫生服务的补助</w:t>
            </w:r>
          </w:p>
        </w:tc>
      </w:tr>
      <w:tr>
        <w:tblPrEx>
          <w:tblCellMar>
            <w:top w:w="0" w:type="dxa"/>
            <w:left w:w="0" w:type="dxa"/>
            <w:bottom w:w="0" w:type="dxa"/>
            <w:right w:w="0" w:type="dxa"/>
          </w:tblCellMar>
        </w:tblPrEx>
        <w:trPr>
          <w:trHeight w:val="473"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农田建设补助资金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高标准农田建设</w:t>
            </w:r>
          </w:p>
        </w:tc>
      </w:tr>
      <w:tr>
        <w:tblPrEx>
          <w:tblCellMar>
            <w:top w:w="0" w:type="dxa"/>
            <w:left w:w="0" w:type="dxa"/>
            <w:bottom w:w="0" w:type="dxa"/>
            <w:right w:w="0" w:type="dxa"/>
          </w:tblCellMar>
        </w:tblPrEx>
        <w:trPr>
          <w:trHeight w:val="94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困难群众救助补助经费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民政局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统筹开展低保、特困人员救助供养，临时救助，流浪乞讨人员救助（含农村留守儿童、困境儿童、流浪乞讨儿童的应急处置、救助帮扶、监护支持、精神关爱等未成年人社会保护）、孤儿基本生活保障等支出</w:t>
            </w:r>
          </w:p>
        </w:tc>
      </w:tr>
      <w:tr>
        <w:tblPrEx>
          <w:tblCellMar>
            <w:top w:w="0" w:type="dxa"/>
            <w:left w:w="0" w:type="dxa"/>
            <w:bottom w:w="0" w:type="dxa"/>
            <w:right w:w="0" w:type="dxa"/>
          </w:tblCellMar>
        </w:tblPrEx>
        <w:trPr>
          <w:trHeight w:val="48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林业改革发展资金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林业局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森林资源管护支出</w:t>
            </w:r>
          </w:p>
        </w:tc>
      </w:tr>
      <w:tr>
        <w:tblPrEx>
          <w:tblCellMar>
            <w:top w:w="0" w:type="dxa"/>
            <w:left w:w="0" w:type="dxa"/>
            <w:bottom w:w="0" w:type="dxa"/>
            <w:right w:w="0" w:type="dxa"/>
          </w:tblCellMar>
        </w:tblPrEx>
        <w:trPr>
          <w:trHeight w:val="41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农业生产发展资金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耕地地力保护补贴</w:t>
            </w:r>
          </w:p>
        </w:tc>
      </w:tr>
      <w:tr>
        <w:tblPrEx>
          <w:tblCellMar>
            <w:top w:w="0" w:type="dxa"/>
            <w:left w:w="0" w:type="dxa"/>
            <w:bottom w:w="0" w:type="dxa"/>
            <w:right w:w="0" w:type="dxa"/>
          </w:tblCellMar>
        </w:tblPrEx>
        <w:trPr>
          <w:trHeight w:val="73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机关事业单位养老保险制度改革补助经费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人社局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用于发放行政事业单位退休人员养老金</w:t>
            </w:r>
          </w:p>
        </w:tc>
      </w:tr>
      <w:tr>
        <w:tblPrEx>
          <w:tblCellMar>
            <w:top w:w="0" w:type="dxa"/>
            <w:left w:w="0" w:type="dxa"/>
            <w:bottom w:w="0" w:type="dxa"/>
            <w:right w:w="0" w:type="dxa"/>
          </w:tblCellMar>
        </w:tblPrEx>
        <w:trPr>
          <w:trHeight w:val="12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医疗服务与保障能力提升补助资金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支持提升医疗保障服务能力、支持中医药传承与事业发展的补助、支持公立医院综合改革的补助、支持医疗卫生机构能力建设的补助、支持卫生健康人才培养的补助</w:t>
            </w:r>
          </w:p>
        </w:tc>
      </w:tr>
      <w:tr>
        <w:tblPrEx>
          <w:tblCellMar>
            <w:top w:w="0" w:type="dxa"/>
            <w:left w:w="0" w:type="dxa"/>
            <w:bottom w:w="0" w:type="dxa"/>
            <w:right w:w="0" w:type="dxa"/>
          </w:tblCellMar>
        </w:tblPrEx>
        <w:trPr>
          <w:trHeight w:val="76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8</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医疗救助补助资金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医保局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对疾病应急救助基金的补助、对城乡医疗救助基金的补助</w:t>
            </w:r>
          </w:p>
        </w:tc>
      </w:tr>
      <w:tr>
        <w:tblPrEx>
          <w:tblCellMar>
            <w:top w:w="0" w:type="dxa"/>
            <w:left w:w="0" w:type="dxa"/>
            <w:bottom w:w="0" w:type="dxa"/>
            <w:right w:w="0" w:type="dxa"/>
          </w:tblCellMar>
        </w:tblPrEx>
        <w:trPr>
          <w:trHeight w:val="160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9</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学生资助补助经费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教</w:t>
            </w:r>
            <w:r>
              <w:rPr>
                <w:rFonts w:hint="eastAsia" w:cs="宋体" w:asciiTheme="minorEastAsia" w:hAnsiTheme="minorEastAsia"/>
                <w:color w:val="000000"/>
                <w:kern w:val="0"/>
                <w:szCs w:val="21"/>
              </w:rPr>
              <w:t>体</w:t>
            </w:r>
            <w:r>
              <w:rPr>
                <w:rFonts w:cs="宋体" w:asciiTheme="minorEastAsia" w:hAnsiTheme="minorEastAsia"/>
                <w:color w:val="000000"/>
                <w:kern w:val="0"/>
                <w:szCs w:val="21"/>
              </w:rPr>
              <w:t>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普通高中国家助学金、普通高中免学杂费补助、中等职业教育国家助学金、中等职业教育免学费补助、中等职业教育国家奖学金、本专科生国家奖助学金，研究生国家奖助学金，服兵役国家教育资助，国家助学贷款奖补</w:t>
            </w:r>
          </w:p>
        </w:tc>
      </w:tr>
      <w:tr>
        <w:tblPrEx>
          <w:tblCellMar>
            <w:top w:w="0" w:type="dxa"/>
            <w:left w:w="0" w:type="dxa"/>
            <w:bottom w:w="0" w:type="dxa"/>
            <w:right w:w="0" w:type="dxa"/>
          </w:tblCellMar>
        </w:tblPrEx>
        <w:trPr>
          <w:trHeight w:val="130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10</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城乡义务教育补助经费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教体局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公用经费补助、国家规定课程免费教科书（含字典）补助、家庭经济困难学生生活补助、校舍安全保障长效机制补助、义务教育综合奖补、特岗教师工资性补助、农村义务教育学生营养膳食补助</w:t>
            </w:r>
          </w:p>
        </w:tc>
      </w:tr>
      <w:tr>
        <w:tblPrEx>
          <w:tblCellMar>
            <w:top w:w="0" w:type="dxa"/>
            <w:left w:w="0" w:type="dxa"/>
            <w:bottom w:w="0" w:type="dxa"/>
            <w:right w:w="0" w:type="dxa"/>
          </w:tblCellMar>
        </w:tblPrEx>
        <w:trPr>
          <w:trHeight w:val="127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11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残疾人事业发展补助经费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残疾人联合会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统筹开展残疾人康复、农村困难残疾人实用技术培训、残疾人机动轮椅燃油补贴以及阳光家园计划--智力、精神和重度肢体残疾人托养服务等方面</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计划生育转移支付资金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支持实施计划生育服务奖励扶助、特别扶助制度的补助</w:t>
            </w:r>
          </w:p>
        </w:tc>
      </w:tr>
      <w:tr>
        <w:tblPrEx>
          <w:tblCellMar>
            <w:top w:w="0" w:type="dxa"/>
            <w:left w:w="0" w:type="dxa"/>
            <w:bottom w:w="0" w:type="dxa"/>
            <w:right w:w="0" w:type="dxa"/>
          </w:tblCellMar>
        </w:tblPrEx>
        <w:trPr>
          <w:trHeight w:val="84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成品油税费改革转移支付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交通局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支持普通国省道、农村公路等交通基础设施养护和建设</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城乡居民基本养老保险补助经费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人社局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用于发放参加城乡居民养老保险的60岁以上人员养老金</w:t>
            </w:r>
          </w:p>
        </w:tc>
      </w:tr>
      <w:tr>
        <w:tblPrEx>
          <w:tblCellMar>
            <w:top w:w="0" w:type="dxa"/>
            <w:left w:w="0" w:type="dxa"/>
            <w:bottom w:w="0" w:type="dxa"/>
            <w:right w:w="0" w:type="dxa"/>
          </w:tblCellMar>
        </w:tblPrEx>
        <w:trPr>
          <w:trHeight w:val="82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基本药物制度补助资金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卫生健康委员会</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支持基层医疗卫生机构实施基本药物制度的补助</w:t>
            </w:r>
          </w:p>
        </w:tc>
      </w:tr>
      <w:tr>
        <w:tblPrEx>
          <w:tblCellMar>
            <w:top w:w="0" w:type="dxa"/>
            <w:left w:w="0" w:type="dxa"/>
            <w:bottom w:w="0" w:type="dxa"/>
            <w:right w:w="0" w:type="dxa"/>
          </w:tblCellMar>
        </w:tblPrEx>
        <w:trPr>
          <w:trHeight w:val="82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农村危房改造补助资金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住建局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农村低收入群体等重点对象住房安全保障支出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中央财政城镇保障性安居工程补助资金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住建局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老旧小区改造和租赁补贴，城镇保障性安居工程建设</w:t>
            </w:r>
          </w:p>
        </w:tc>
      </w:tr>
      <w:tr>
        <w:tblPrEx>
          <w:tblCellMar>
            <w:top w:w="0" w:type="dxa"/>
            <w:left w:w="0" w:type="dxa"/>
            <w:bottom w:w="0" w:type="dxa"/>
            <w:right w:w="0" w:type="dxa"/>
          </w:tblCellMar>
        </w:tblPrEx>
        <w:trPr>
          <w:trHeight w:val="120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8</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优抚对象医疗保障经费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退役军人事务局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用于全县一至六级残疾军人参加城镇中基本医疗保险和建立补充医疗保障、七至十级残疾军人旧伤复发医疗补助，以及落实优抚对象医疗优惠待遇等方面</w:t>
            </w:r>
          </w:p>
        </w:tc>
      </w:tr>
      <w:tr>
        <w:tblPrEx>
          <w:tblCellMar>
            <w:top w:w="0" w:type="dxa"/>
            <w:left w:w="0" w:type="dxa"/>
            <w:bottom w:w="0" w:type="dxa"/>
            <w:right w:w="0" w:type="dxa"/>
          </w:tblCellMar>
        </w:tblPrEx>
        <w:trPr>
          <w:trHeight w:val="2176"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1</w:t>
            </w:r>
            <w:r>
              <w:rPr>
                <w:rFonts w:hint="eastAsia" w:cs="宋体" w:asciiTheme="minorEastAsia" w:hAnsiTheme="minorEastAsia"/>
                <w:color w:val="000000"/>
                <w:kern w:val="0"/>
                <w:szCs w:val="21"/>
                <w:lang w:val="en-US" w:eastAsia="zh-CN"/>
              </w:rPr>
              <w:t>9</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优抚对象补助经费</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退役军人事务局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用于伤残人员、“两红”（在乡退伍红军老战士、红军失散人员）、“三属”（烈士、因公牺牲和病故军人家属）、在乡老复员军人、带病回乡退伍军人、在农村的和城镇无工作单位且家庭生活困难的参战退役人员、部分原8023部队及其他参加核试验军队退役人员，以及符合条件的农村籍退役士兵等优抚对象抚恤和生活补助，烈士褒扬金</w:t>
            </w:r>
          </w:p>
        </w:tc>
      </w:tr>
      <w:tr>
        <w:tblPrEx>
          <w:tblCellMar>
            <w:top w:w="0" w:type="dxa"/>
            <w:left w:w="0" w:type="dxa"/>
            <w:bottom w:w="0" w:type="dxa"/>
            <w:right w:w="0" w:type="dxa"/>
          </w:tblCellMar>
        </w:tblPrEx>
        <w:trPr>
          <w:trHeight w:val="859"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20</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普惠金融发展专项资金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人社局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cs="宋体" w:asciiTheme="minorEastAsia" w:hAnsiTheme="minorEastAsia"/>
                <w:color w:val="000000"/>
                <w:kern w:val="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一般性转移支付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79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21</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县级基本财力保障机制奖补资金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支持地方兜牢兜实“三保”底线，用于地方承担的基本民生支出及行政事业单位的人员经费、公用经费以及其他必要支出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lang w:val="en-US" w:eastAsia="zh-CN"/>
              </w:rPr>
              <w:t>22</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生猪（牛羊）调出大县奖励资金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农业农村局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支持生猪（牛羊）产业发展</w:t>
            </w:r>
          </w:p>
        </w:tc>
      </w:tr>
      <w:tr>
        <w:tblPrEx>
          <w:tblCellMar>
            <w:top w:w="0" w:type="dxa"/>
            <w:left w:w="0" w:type="dxa"/>
            <w:bottom w:w="0" w:type="dxa"/>
            <w:right w:w="0" w:type="dxa"/>
          </w:tblCellMar>
        </w:tblPrEx>
        <w:trPr>
          <w:trHeight w:val="70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3</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中央财政衔接推进乡村振兴补助资金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乡村振兴局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巩固拓展脱贫攻坚成果和乡村振兴任务、以工代赈任务、少数民族发展任务、欠发达国有林场巩固提升任务</w:t>
            </w:r>
          </w:p>
        </w:tc>
      </w:tr>
      <w:tr>
        <w:tblPrEx>
          <w:tblCellMar>
            <w:top w:w="0" w:type="dxa"/>
            <w:left w:w="0" w:type="dxa"/>
            <w:bottom w:w="0" w:type="dxa"/>
            <w:right w:w="0" w:type="dxa"/>
          </w:tblCellMar>
        </w:tblPrEx>
        <w:trPr>
          <w:trHeight w:val="78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支持基层落实减税降费和重点民生等专项转移支付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4</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增值税留抵退税资金转移支付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支持地方落实留抵退税政策和保就业保基本民生</w:t>
            </w:r>
          </w:p>
        </w:tc>
      </w:tr>
      <w:tr>
        <w:tblPrEx>
          <w:tblCellMar>
            <w:top w:w="0" w:type="dxa"/>
            <w:left w:w="0" w:type="dxa"/>
            <w:bottom w:w="0" w:type="dxa"/>
            <w:right w:w="0" w:type="dxa"/>
          </w:tblCellMar>
        </w:tblPrEx>
        <w:trPr>
          <w:trHeight w:val="79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5</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补充县区财力资金转移支付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支持地方兜牢兜实“三保”底线，用于地方承担的基本民生支出及行政事业单位的人员经费、公用经费以及其他必要支出</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6</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其他减税降费资金转移支付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cs="宋体" w:asciiTheme="minorEastAsia" w:hAnsiTheme="minorEastAsia"/>
                <w:color w:val="000000"/>
                <w:kern w:val="0"/>
                <w:szCs w:val="21"/>
              </w:rPr>
              <w:t>财政局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支持地方落实减税降费政策和保就业保基本民生</w:t>
            </w:r>
          </w:p>
        </w:tc>
      </w:tr>
      <w:tr>
        <w:tblPrEx>
          <w:tblCellMar>
            <w:top w:w="0" w:type="dxa"/>
            <w:left w:w="0" w:type="dxa"/>
            <w:bottom w:w="0" w:type="dxa"/>
            <w:right w:w="0" w:type="dxa"/>
          </w:tblCellMar>
        </w:tblPrEx>
        <w:trPr>
          <w:trHeight w:val="555"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szCs w:val="21"/>
              </w:rPr>
            </w:pP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b/>
                <w:color w:val="000000"/>
                <w:szCs w:val="21"/>
              </w:rPr>
            </w:pPr>
            <w:r>
              <w:rPr>
                <w:rFonts w:hint="eastAsia" w:cs="宋体" w:asciiTheme="minorEastAsia" w:hAnsiTheme="minorEastAsia"/>
                <w:b/>
                <w:color w:val="000000"/>
                <w:kern w:val="0"/>
                <w:szCs w:val="21"/>
              </w:rPr>
              <w:t>专项转移支付</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p>
        </w:tc>
      </w:tr>
      <w:tr>
        <w:tblPrEx>
          <w:tblCellMar>
            <w:top w:w="0" w:type="dxa"/>
            <w:left w:w="0" w:type="dxa"/>
            <w:bottom w:w="0" w:type="dxa"/>
            <w:right w:w="0" w:type="dxa"/>
          </w:tblCellMar>
        </w:tblPrEx>
        <w:trPr>
          <w:trHeight w:val="960"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cs="宋体" w:asciiTheme="minorEastAsia" w:hAnsiTheme="minorEastAsia" w:eastAsiaTheme="minorEastAsia"/>
                <w:color w:val="000000"/>
                <w:szCs w:val="21"/>
                <w:lang w:val="en-US" w:eastAsia="zh-CN"/>
              </w:rPr>
            </w:pPr>
            <w:r>
              <w:rPr>
                <w:rFonts w:hint="eastAsia" w:cs="宋体" w:asciiTheme="minorEastAsia" w:hAnsiTheme="minorEastAsia"/>
                <w:color w:val="000000"/>
                <w:kern w:val="0"/>
                <w:szCs w:val="21"/>
              </w:rPr>
              <w:t>2</w:t>
            </w:r>
            <w:r>
              <w:rPr>
                <w:rFonts w:hint="eastAsia" w:cs="宋体" w:asciiTheme="minorEastAsia" w:hAnsiTheme="minorEastAsia"/>
                <w:color w:val="000000"/>
                <w:kern w:val="0"/>
                <w:szCs w:val="21"/>
                <w:lang w:val="en-US" w:eastAsia="zh-CN"/>
              </w:rPr>
              <w:t>7</w:t>
            </w:r>
          </w:p>
        </w:tc>
        <w:tc>
          <w:tcPr>
            <w:tcW w:w="1830"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jc w:val="center"/>
              <w:rPr>
                <w:rFonts w:cs="宋体" w:asciiTheme="minorEastAsia" w:hAnsiTheme="minorEastAsia"/>
                <w:color w:val="000000"/>
                <w:szCs w:val="21"/>
              </w:rPr>
            </w:pPr>
            <w:r>
              <w:rPr>
                <w:rFonts w:hint="eastAsia" w:cs="宋体" w:asciiTheme="minorEastAsia" w:hAnsiTheme="minorEastAsia"/>
                <w:color w:val="000000"/>
                <w:kern w:val="0"/>
                <w:szCs w:val="21"/>
              </w:rPr>
              <w:t>普惠金融发展专项资金</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heme="minorEastAsia" w:hAnsiTheme="minorEastAsia"/>
                <w:color w:val="000000"/>
                <w:szCs w:val="21"/>
              </w:rPr>
            </w:pPr>
            <w:r>
              <w:rPr>
                <w:rFonts w:hint="eastAsia" w:cs="宋体" w:asciiTheme="minorEastAsia" w:hAnsiTheme="minorEastAsia"/>
                <w:color w:val="000000"/>
                <w:kern w:val="0"/>
                <w:szCs w:val="21"/>
              </w:rPr>
              <w:t>劳动</w:t>
            </w:r>
            <w:r>
              <w:rPr>
                <w:rFonts w:cs="宋体" w:asciiTheme="minorEastAsia" w:hAnsiTheme="minorEastAsia"/>
                <w:color w:val="000000"/>
                <w:kern w:val="0"/>
                <w:szCs w:val="21"/>
              </w:rPr>
              <w:t>就业局</w:t>
            </w:r>
          </w:p>
        </w:tc>
        <w:tc>
          <w:tcPr>
            <w:tcW w:w="4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heme="minorEastAsia" w:hAnsiTheme="minorEastAsia"/>
                <w:color w:val="000000"/>
                <w:szCs w:val="21"/>
              </w:rPr>
            </w:pPr>
            <w:r>
              <w:rPr>
                <w:rFonts w:cs="宋体" w:asciiTheme="minorEastAsia" w:hAnsiTheme="minorEastAsia"/>
                <w:color w:val="000000"/>
                <w:kern w:val="0"/>
                <w:szCs w:val="21"/>
              </w:rPr>
              <w:t>创业担保贷款奖补和贴息，农村金融机构定向费用补贴、中央财政支持普惠金融发展示范区奖补</w:t>
            </w:r>
          </w:p>
        </w:tc>
      </w:tr>
    </w:tbl>
    <w:p>
      <w:pPr>
        <w:spacing w:line="300" w:lineRule="exact"/>
        <w:rPr>
          <w:rFonts w:asciiTheme="minorEastAsia" w:hAnsiTheme="minorEastAsia"/>
          <w:szCs w:val="21"/>
        </w:rPr>
      </w:pPr>
      <w:bookmarkStart w:id="0" w:name="_GoBack"/>
      <w:bookmarkEnd w:id="0"/>
    </w:p>
    <w:sectPr>
      <w:footerReference r:id="rId3" w:type="default"/>
      <w:footerReference r:id="rId4" w:type="even"/>
      <w:pgSz w:w="11906" w:h="16838"/>
      <w:pgMar w:top="2098" w:right="1474" w:bottom="1985" w:left="1588" w:header="851" w:footer="1701"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5581"/>
    </w:sdtPr>
    <w:sdtEndPr>
      <w:rPr>
        <w:rFonts w:asciiTheme="minorEastAsia" w:hAnsiTheme="minorEastAsia"/>
        <w:sz w:val="28"/>
        <w:szCs w:val="28"/>
      </w:rPr>
    </w:sdtEndPr>
    <w:sdtContent>
      <w:p>
        <w:pPr>
          <w:pStyle w:val="5"/>
          <w:ind w:right="210" w:rightChars="10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5586"/>
    </w:sdtPr>
    <w:sdtContent>
      <w:p>
        <w:pPr>
          <w:pStyle w:val="5"/>
          <w:ind w:left="210" w:leftChars="10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2E30"/>
    <w:rsid w:val="00073827"/>
    <w:rsid w:val="00120C35"/>
    <w:rsid w:val="001461A7"/>
    <w:rsid w:val="001726D3"/>
    <w:rsid w:val="001C07E1"/>
    <w:rsid w:val="00216CDA"/>
    <w:rsid w:val="002F6C38"/>
    <w:rsid w:val="003F769B"/>
    <w:rsid w:val="00451BA1"/>
    <w:rsid w:val="004523DD"/>
    <w:rsid w:val="004C4693"/>
    <w:rsid w:val="004D559D"/>
    <w:rsid w:val="004F7C54"/>
    <w:rsid w:val="006050F8"/>
    <w:rsid w:val="00625373"/>
    <w:rsid w:val="00641554"/>
    <w:rsid w:val="006950CA"/>
    <w:rsid w:val="007672F7"/>
    <w:rsid w:val="00805C4C"/>
    <w:rsid w:val="00912E30"/>
    <w:rsid w:val="00A04791"/>
    <w:rsid w:val="00A401EB"/>
    <w:rsid w:val="00A54F2D"/>
    <w:rsid w:val="00AA6EC3"/>
    <w:rsid w:val="00AF2901"/>
    <w:rsid w:val="00C32257"/>
    <w:rsid w:val="00C7692B"/>
    <w:rsid w:val="00CF5024"/>
    <w:rsid w:val="00D12E4D"/>
    <w:rsid w:val="00D74829"/>
    <w:rsid w:val="00E72BDE"/>
    <w:rsid w:val="00F14517"/>
    <w:rsid w:val="00F23077"/>
    <w:rsid w:val="00F8541C"/>
    <w:rsid w:val="00FB4677"/>
    <w:rsid w:val="00FD0889"/>
    <w:rsid w:val="018A520D"/>
    <w:rsid w:val="09E20851"/>
    <w:rsid w:val="11FF0E4D"/>
    <w:rsid w:val="16BD73E8"/>
    <w:rsid w:val="17E357FF"/>
    <w:rsid w:val="182A27D9"/>
    <w:rsid w:val="18E13683"/>
    <w:rsid w:val="1B0E66C8"/>
    <w:rsid w:val="1C510852"/>
    <w:rsid w:val="2B1B4F12"/>
    <w:rsid w:val="329A602B"/>
    <w:rsid w:val="3A4C3903"/>
    <w:rsid w:val="407766AF"/>
    <w:rsid w:val="413B4897"/>
    <w:rsid w:val="4B406542"/>
    <w:rsid w:val="4DF70754"/>
    <w:rsid w:val="58AD1504"/>
    <w:rsid w:val="5CB61019"/>
    <w:rsid w:val="5E4F0EA3"/>
    <w:rsid w:val="6D1A3CF3"/>
    <w:rsid w:val="6DDE14B3"/>
    <w:rsid w:val="6EBB6729"/>
    <w:rsid w:val="6FFB3038"/>
    <w:rsid w:val="716F2752"/>
    <w:rsid w:val="73D75A58"/>
    <w:rsid w:val="77FAF695"/>
    <w:rsid w:val="7BEDF3BE"/>
    <w:rsid w:val="F77BA058"/>
    <w:rsid w:val="FC7F5B4E"/>
    <w:rsid w:val="FFF76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99"/>
    <w:rPr>
      <w:kern w:val="2"/>
      <w:sz w:val="18"/>
      <w:szCs w:val="18"/>
    </w:rPr>
  </w:style>
  <w:style w:type="character" w:customStyle="1" w:styleId="14">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270</Words>
  <Characters>1542</Characters>
  <Lines>12</Lines>
  <Paragraphs>3</Paragraphs>
  <TotalTime>24</TotalTime>
  <ScaleCrop>false</ScaleCrop>
  <LinksUpToDate>false</LinksUpToDate>
  <CharactersWithSpaces>1809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2022-11-26T04:38:00Z</dcterms:created>
  <dc:creator>Administrator</dc:creator>
  <cp:lastModifiedBy>Administrator</cp:lastModifiedBy>
  <cp:lastPrinted>2022-12-06T01:25:00Z</cp:lastPrinted>
  <dcterms:modified xsi:type="dcterms:W3CDTF">2022-12-09T07:32:34Z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