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400" w:lineRule="exact"/>
        <w:jc w:val="center"/>
        <w:rPr>
          <w:rFonts w:cs="微软雅黑" w:asciiTheme="minorEastAsia" w:hAnsiTheme="minorEastAsia"/>
          <w:b/>
          <w:color w:val="000000"/>
          <w:sz w:val="36"/>
          <w:szCs w:val="36"/>
        </w:rPr>
      </w:pPr>
      <w:r>
        <w:rPr>
          <w:rFonts w:hint="eastAsia" w:cs="微软雅黑" w:asciiTheme="minorEastAsia" w:hAnsiTheme="minorEastAsia"/>
          <w:b/>
          <w:color w:val="000000"/>
          <w:sz w:val="36"/>
          <w:szCs w:val="36"/>
          <w:shd w:val="clear" w:color="auto" w:fill="FFFFFF"/>
        </w:rPr>
        <w:t>樟树市202</w:t>
      </w:r>
      <w:r>
        <w:rPr>
          <w:rFonts w:hint="eastAsia" w:cs="微软雅黑" w:asciiTheme="minorEastAsia" w:hAnsiTheme="minorEastAsia"/>
          <w:b/>
          <w:color w:val="000000"/>
          <w:sz w:val="36"/>
          <w:szCs w:val="36"/>
          <w:shd w:val="clear" w:color="auto" w:fill="FFFFFF"/>
          <w:lang w:val="en-US" w:eastAsia="zh-CN"/>
        </w:rPr>
        <w:t>4</w:t>
      </w:r>
      <w:r>
        <w:rPr>
          <w:rFonts w:hint="eastAsia" w:cs="微软雅黑" w:asciiTheme="minorEastAsia" w:hAnsiTheme="minorEastAsia"/>
          <w:b/>
          <w:color w:val="000000"/>
          <w:sz w:val="36"/>
          <w:szCs w:val="36"/>
          <w:shd w:val="clear" w:color="auto" w:fill="FFFFFF"/>
        </w:rPr>
        <w:t>年财政直达资金目录</w:t>
      </w:r>
    </w:p>
    <w:p>
      <w:pPr>
        <w:spacing w:line="300" w:lineRule="exact"/>
        <w:rPr>
          <w:rFonts w:asciiTheme="minorEastAsia" w:hAnsiTheme="minorEastAsia"/>
          <w:szCs w:val="21"/>
        </w:rPr>
      </w:pPr>
    </w:p>
    <w:tbl>
      <w:tblPr>
        <w:tblStyle w:val="8"/>
        <w:tblW w:w="8885" w:type="dxa"/>
        <w:jc w:val="center"/>
        <w:tblLayout w:type="autofit"/>
        <w:tblCellMar>
          <w:top w:w="0" w:type="dxa"/>
          <w:left w:w="0" w:type="dxa"/>
          <w:bottom w:w="0" w:type="dxa"/>
          <w:right w:w="0" w:type="dxa"/>
        </w:tblCellMar>
      </w:tblPr>
      <w:tblGrid>
        <w:gridCol w:w="670"/>
        <w:gridCol w:w="1830"/>
        <w:gridCol w:w="1821"/>
        <w:gridCol w:w="4564"/>
      </w:tblGrid>
      <w:tr>
        <w:tblPrEx>
          <w:tblCellMar>
            <w:top w:w="0" w:type="dxa"/>
            <w:left w:w="0" w:type="dxa"/>
            <w:bottom w:w="0" w:type="dxa"/>
            <w:right w:w="0" w:type="dxa"/>
          </w:tblCellMar>
        </w:tblPrEx>
        <w:trPr>
          <w:trHeight w:val="567" w:hRule="exac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序号</w:t>
            </w:r>
          </w:p>
        </w:tc>
        <w:tc>
          <w:tcPr>
            <w:tcW w:w="1830"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资金名称</w:t>
            </w:r>
          </w:p>
        </w:tc>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主管部门</w:t>
            </w:r>
          </w:p>
        </w:tc>
        <w:tc>
          <w:tcPr>
            <w:tcW w:w="4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资金使用范围和方向</w:t>
            </w:r>
          </w:p>
        </w:tc>
      </w:tr>
      <w:tr>
        <w:tblPrEx>
          <w:tblCellMar>
            <w:top w:w="0" w:type="dxa"/>
            <w:left w:w="0" w:type="dxa"/>
            <w:bottom w:w="0" w:type="dxa"/>
            <w:right w:w="0" w:type="dxa"/>
          </w:tblCellMar>
        </w:tblPrEx>
        <w:trPr>
          <w:trHeight w:val="300"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b/>
                <w:color w:val="000000"/>
                <w:szCs w:val="21"/>
              </w:rPr>
            </w:pPr>
          </w:p>
        </w:tc>
        <w:tc>
          <w:tcPr>
            <w:tcW w:w="1830" w:type="dxa"/>
            <w:vMerge w:val="continue"/>
            <w:tcBorders>
              <w:top w:val="single" w:color="000000" w:sz="4" w:space="0"/>
              <w:left w:val="single" w:color="000000" w:sz="4" w:space="0"/>
              <w:bottom w:val="single" w:color="000000" w:sz="4" w:space="0"/>
              <w:right w:val="nil"/>
            </w:tcBorders>
            <w:shd w:val="clear" w:color="auto" w:fill="auto"/>
            <w:vAlign w:val="center"/>
          </w:tcPr>
          <w:p>
            <w:pPr>
              <w:spacing w:line="300" w:lineRule="exact"/>
              <w:jc w:val="center"/>
              <w:rPr>
                <w:rFonts w:asciiTheme="minorEastAsia" w:hAnsiTheme="minorEastAsia"/>
                <w:b/>
                <w:color w:val="000000"/>
                <w:szCs w:val="21"/>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b/>
                <w:color w:val="000000"/>
                <w:szCs w:val="21"/>
              </w:rPr>
            </w:pPr>
          </w:p>
        </w:tc>
        <w:tc>
          <w:tcPr>
            <w:tcW w:w="4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b/>
                <w:color w:val="000000"/>
                <w:szCs w:val="21"/>
              </w:rPr>
            </w:pPr>
          </w:p>
        </w:tc>
      </w:tr>
      <w:tr>
        <w:tblPrEx>
          <w:tblCellMar>
            <w:top w:w="0" w:type="dxa"/>
            <w:left w:w="0" w:type="dxa"/>
            <w:bottom w:w="0" w:type="dxa"/>
            <w:right w:w="0" w:type="dxa"/>
          </w:tblCellMar>
        </w:tblPrEx>
        <w:trPr>
          <w:trHeight w:val="381"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b/>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直达资金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共同财政事权转移支付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基本公共卫生服务补助资金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支持基本公共卫生服务的补助</w:t>
            </w:r>
          </w:p>
        </w:tc>
      </w:tr>
      <w:tr>
        <w:tblPrEx>
          <w:tblCellMar>
            <w:top w:w="0" w:type="dxa"/>
            <w:left w:w="0" w:type="dxa"/>
            <w:bottom w:w="0" w:type="dxa"/>
            <w:right w:w="0" w:type="dxa"/>
          </w:tblCellMar>
        </w:tblPrEx>
        <w:trPr>
          <w:trHeight w:val="473"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农田建设补助资金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农业农村局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高标准农田建设</w:t>
            </w:r>
          </w:p>
        </w:tc>
      </w:tr>
      <w:tr>
        <w:tblPrEx>
          <w:tblCellMar>
            <w:top w:w="0" w:type="dxa"/>
            <w:left w:w="0" w:type="dxa"/>
            <w:bottom w:w="0" w:type="dxa"/>
            <w:right w:w="0" w:type="dxa"/>
          </w:tblCellMar>
        </w:tblPrEx>
        <w:trPr>
          <w:trHeight w:val="94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3</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困难群众救助补助经费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民政局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统筹开展低保、特困人员救助供养，临时救助，流浪乞讨人员救助（含农村留守儿童、困境儿童、流浪乞讨儿童的应急处置、救助帮扶、监护支持、精神关爱等未成年人社会保护）、孤儿基本生活保障等支出</w:t>
            </w:r>
          </w:p>
        </w:tc>
      </w:tr>
      <w:tr>
        <w:tblPrEx>
          <w:tblCellMar>
            <w:top w:w="0" w:type="dxa"/>
            <w:left w:w="0" w:type="dxa"/>
            <w:bottom w:w="0" w:type="dxa"/>
            <w:right w:w="0" w:type="dxa"/>
          </w:tblCellMar>
        </w:tblPrEx>
        <w:trPr>
          <w:trHeight w:val="487"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4</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林业改革发展资金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林业局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森林资源管护支出</w:t>
            </w:r>
          </w:p>
        </w:tc>
      </w:tr>
      <w:tr>
        <w:tblPrEx>
          <w:tblCellMar>
            <w:top w:w="0" w:type="dxa"/>
            <w:left w:w="0" w:type="dxa"/>
            <w:bottom w:w="0" w:type="dxa"/>
            <w:right w:w="0" w:type="dxa"/>
          </w:tblCellMar>
        </w:tblPrEx>
        <w:trPr>
          <w:trHeight w:val="41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5</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农业生产发展资金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农业农村局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耕地地力保护补贴</w:t>
            </w:r>
          </w:p>
        </w:tc>
      </w:tr>
      <w:tr>
        <w:tblPrEx>
          <w:tblCellMar>
            <w:top w:w="0" w:type="dxa"/>
            <w:left w:w="0" w:type="dxa"/>
            <w:bottom w:w="0" w:type="dxa"/>
            <w:right w:w="0" w:type="dxa"/>
          </w:tblCellMar>
        </w:tblPrEx>
        <w:trPr>
          <w:trHeight w:val="73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6</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机关事业单位养老保险制度改革补助经费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人社局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用于发放行政事业单位退休人员养老金</w:t>
            </w:r>
          </w:p>
        </w:tc>
      </w:tr>
      <w:tr>
        <w:tblPrEx>
          <w:tblCellMar>
            <w:top w:w="0" w:type="dxa"/>
            <w:left w:w="0" w:type="dxa"/>
            <w:bottom w:w="0" w:type="dxa"/>
            <w:right w:w="0" w:type="dxa"/>
          </w:tblCellMar>
        </w:tblPrEx>
        <w:trPr>
          <w:trHeight w:val="12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7</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医疗服务与保障能力提升补助资金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支持提升医疗保障服务能力、支持中医药传承与事业发展的补助、支持公立医院综合改革的补助、支持医疗卫生机构能力建设的补助、支持卫生健康人才培养的补助</w:t>
            </w:r>
          </w:p>
        </w:tc>
      </w:tr>
      <w:tr>
        <w:tblPrEx>
          <w:tblCellMar>
            <w:top w:w="0" w:type="dxa"/>
            <w:left w:w="0" w:type="dxa"/>
            <w:bottom w:w="0" w:type="dxa"/>
            <w:right w:w="0" w:type="dxa"/>
          </w:tblCellMar>
        </w:tblPrEx>
        <w:trPr>
          <w:trHeight w:val="76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8</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医疗救助补助资金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医保局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对疾病应急救助基金的补助、对城乡医疗救助基金的补助</w:t>
            </w:r>
          </w:p>
        </w:tc>
      </w:tr>
      <w:tr>
        <w:tblPrEx>
          <w:tblCellMar>
            <w:top w:w="0" w:type="dxa"/>
            <w:left w:w="0" w:type="dxa"/>
            <w:bottom w:w="0" w:type="dxa"/>
            <w:right w:w="0" w:type="dxa"/>
          </w:tblCellMar>
        </w:tblPrEx>
        <w:trPr>
          <w:trHeight w:val="160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9</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学生资助补助经费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教</w:t>
            </w:r>
            <w:r>
              <w:rPr>
                <w:rFonts w:hint="eastAsia" w:cs="宋体" w:asciiTheme="minorEastAsia" w:hAnsiTheme="minorEastAsia"/>
                <w:color w:val="000000"/>
                <w:kern w:val="0"/>
                <w:szCs w:val="21"/>
              </w:rPr>
              <w:t>体</w:t>
            </w:r>
            <w:r>
              <w:rPr>
                <w:rFonts w:cs="宋体" w:asciiTheme="minorEastAsia" w:hAnsiTheme="minorEastAsia"/>
                <w:color w:val="000000"/>
                <w:kern w:val="0"/>
                <w:szCs w:val="21"/>
              </w:rPr>
              <w:t>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普通高中国家助学金、普通高中免学杂费补助、中等职业教育国家助学金、中等职业教育免学费补助、中等职业教育国家奖学金、本专科生国家奖助学金，研究生国家奖助学金，服兵役国家教育资助，国家助学贷款奖补</w:t>
            </w:r>
          </w:p>
        </w:tc>
      </w:tr>
      <w:tr>
        <w:tblPrEx>
          <w:tblCellMar>
            <w:top w:w="0" w:type="dxa"/>
            <w:left w:w="0" w:type="dxa"/>
            <w:bottom w:w="0" w:type="dxa"/>
            <w:right w:w="0" w:type="dxa"/>
          </w:tblCellMar>
        </w:tblPrEx>
        <w:trPr>
          <w:trHeight w:val="130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10</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城乡义务教育补助经费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教体局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公用经费补助、国家规定课程免费教科书（含字典）补助、家庭经济困难学生生活补助、校舍安全保障长效机制补助、义务教育综合奖补、特岗教师工资性补助、农村义务教育学生营养膳食补助</w:t>
            </w:r>
          </w:p>
        </w:tc>
      </w:tr>
      <w:tr>
        <w:tblPrEx>
          <w:tblCellMar>
            <w:top w:w="0" w:type="dxa"/>
            <w:left w:w="0" w:type="dxa"/>
            <w:bottom w:w="0" w:type="dxa"/>
            <w:right w:w="0" w:type="dxa"/>
          </w:tblCellMar>
        </w:tblPrEx>
        <w:trPr>
          <w:trHeight w:val="127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残疾人事业发展补助经费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残疾人联合会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统筹开展残疾人康复、农村困难残疾人实用技术培训、残疾人机动轮椅燃油补贴以及阳光家园计划--智力、精神和重度肢体残疾人托养服务等方面</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计划生育转移支付资金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支持实施计划生育服务奖励扶助、特别扶助制度的补助</w:t>
            </w:r>
          </w:p>
        </w:tc>
      </w:tr>
      <w:tr>
        <w:tblPrEx>
          <w:tblCellMar>
            <w:top w:w="0" w:type="dxa"/>
            <w:left w:w="0" w:type="dxa"/>
            <w:bottom w:w="0" w:type="dxa"/>
            <w:right w:w="0" w:type="dxa"/>
          </w:tblCellMar>
        </w:tblPrEx>
        <w:trPr>
          <w:trHeight w:val="84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3</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成品油税费改革转移支付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交通局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支持普通国省道、农村公路等交通基础设施养护和建设</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4</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城乡居民基本养老保险补助经费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人社局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用于发放参加城乡居民养老保险的60岁以上人员养老金</w:t>
            </w:r>
          </w:p>
        </w:tc>
      </w:tr>
      <w:tr>
        <w:tblPrEx>
          <w:tblCellMar>
            <w:top w:w="0" w:type="dxa"/>
            <w:left w:w="0" w:type="dxa"/>
            <w:bottom w:w="0" w:type="dxa"/>
            <w:right w:w="0" w:type="dxa"/>
          </w:tblCellMar>
        </w:tblPrEx>
        <w:trPr>
          <w:trHeight w:val="82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5</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基本药物制度补助资金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支持基层医疗卫生机构实施基本药物制度的补助</w:t>
            </w:r>
          </w:p>
        </w:tc>
      </w:tr>
      <w:tr>
        <w:tblPrEx>
          <w:tblCellMar>
            <w:top w:w="0" w:type="dxa"/>
            <w:left w:w="0" w:type="dxa"/>
            <w:bottom w:w="0" w:type="dxa"/>
            <w:right w:w="0" w:type="dxa"/>
          </w:tblCellMar>
        </w:tblPrEx>
        <w:trPr>
          <w:trHeight w:val="82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6</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农村危房改造补助资金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住建局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农村低收入群体等重点对象住房安全保障支出</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7</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中央财政城镇保障性安居工程补助资金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住建局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老旧小区改造和租赁补贴，城镇保障性安居工程建设</w:t>
            </w:r>
          </w:p>
        </w:tc>
      </w:tr>
      <w:tr>
        <w:tblPrEx>
          <w:tblCellMar>
            <w:top w:w="0" w:type="dxa"/>
            <w:left w:w="0" w:type="dxa"/>
            <w:bottom w:w="0" w:type="dxa"/>
            <w:right w:w="0" w:type="dxa"/>
          </w:tblCellMar>
        </w:tblPrEx>
        <w:trPr>
          <w:trHeight w:val="120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8</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优抚对象医疗保障经费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退役军人事务局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用于全县一至六级残疾军人参加城镇中基本医疗保险和建立补充医疗保障、七至十级残疾军人旧伤复发医疗补助，以及落实优抚对象医疗优惠待遇等方面</w:t>
            </w:r>
          </w:p>
        </w:tc>
      </w:tr>
      <w:tr>
        <w:tblPrEx>
          <w:tblCellMar>
            <w:top w:w="0" w:type="dxa"/>
            <w:left w:w="0" w:type="dxa"/>
            <w:bottom w:w="0" w:type="dxa"/>
            <w:right w:w="0" w:type="dxa"/>
          </w:tblCellMar>
        </w:tblPrEx>
        <w:trPr>
          <w:trHeight w:val="217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9</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优抚对象补助经费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退役军人事务局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伤残人员、“两红”（在乡退伍红军老战士、红军失散人员）、“三属”（烈士、因公牺牲和病故军人家属）、在乡老复员军人、带病回乡退伍军人、在农村的和城镇无工作单位且家庭生活困难的参战退役人员、部分原8023部队及其他参加核试验军队退役人员，以及符合条件的农村籍退役士兵等优抚对象抚恤和生活补助，烈士褒扬金</w:t>
            </w:r>
          </w:p>
        </w:tc>
      </w:tr>
      <w:tr>
        <w:tblPrEx>
          <w:tblCellMar>
            <w:top w:w="0" w:type="dxa"/>
            <w:left w:w="0" w:type="dxa"/>
            <w:bottom w:w="0" w:type="dxa"/>
            <w:right w:w="0" w:type="dxa"/>
          </w:tblCellMar>
        </w:tblPrEx>
        <w:trPr>
          <w:trHeight w:val="64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20</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中央自然灾害救灾资金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应急管理局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应急队伍救援设备、</w:t>
            </w:r>
            <w:r>
              <w:rPr>
                <w:rFonts w:hint="eastAsia" w:cs="宋体" w:asciiTheme="minorEastAsia" w:hAnsiTheme="minorEastAsia"/>
                <w:color w:val="000000"/>
                <w:kern w:val="0"/>
                <w:szCs w:val="21"/>
              </w:rPr>
              <w:t>应急抢险和受灾群众救助</w:t>
            </w:r>
          </w:p>
        </w:tc>
      </w:tr>
      <w:tr>
        <w:tblPrEx>
          <w:tblCellMar>
            <w:top w:w="0" w:type="dxa"/>
            <w:left w:w="0" w:type="dxa"/>
            <w:bottom w:w="0" w:type="dxa"/>
            <w:right w:w="0" w:type="dxa"/>
          </w:tblCellMar>
        </w:tblPrEx>
        <w:trPr>
          <w:trHeight w:val="85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kern w:val="0"/>
                <w:szCs w:val="21"/>
                <w:lang w:val="en-US" w:eastAsia="zh-CN"/>
              </w:rPr>
            </w:pPr>
            <w:r>
              <w:rPr>
                <w:rFonts w:hint="eastAsia" w:cs="宋体" w:asciiTheme="minorEastAsia" w:hAnsiTheme="minorEastAsia"/>
                <w:color w:val="000000"/>
                <w:kern w:val="0"/>
                <w:szCs w:val="21"/>
                <w:lang w:val="en-US" w:eastAsia="zh-CN"/>
              </w:rPr>
              <w:t>21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普惠金融发展专项资金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劳动就业</w:t>
            </w:r>
            <w:r>
              <w:rPr>
                <w:rFonts w:hint="eastAsia" w:cs="宋体" w:asciiTheme="minorEastAsia" w:hAnsiTheme="minorEastAsia"/>
                <w:color w:val="000000"/>
                <w:kern w:val="0"/>
                <w:szCs w:val="21"/>
              </w:rPr>
              <w:t>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cs="宋体" w:asciiTheme="minorEastAsia" w:hAnsiTheme="minorEastAsia"/>
                <w:color w:val="000000"/>
                <w:kern w:val="0"/>
                <w:szCs w:val="21"/>
              </w:rPr>
            </w:pPr>
            <w:r>
              <w:rPr>
                <w:rFonts w:hint="eastAsia" w:ascii="Helvetica" w:hAnsi="Helvetica" w:eastAsia="Helvetica" w:cs="Helvetica"/>
                <w:i w:val="0"/>
                <w:iCs w:val="0"/>
                <w:caps w:val="0"/>
                <w:color w:val="000000"/>
                <w:spacing w:val="0"/>
                <w:sz w:val="27"/>
                <w:szCs w:val="27"/>
              </w:rPr>
              <w:t>开</w:t>
            </w:r>
            <w:r>
              <w:rPr>
                <w:rFonts w:hint="eastAsia" w:cs="宋体" w:asciiTheme="minorEastAsia" w:hAnsiTheme="minorEastAsia"/>
                <w:color w:val="000000"/>
                <w:kern w:val="0"/>
                <w:szCs w:val="21"/>
                <w:lang w:eastAsia="zh-CN"/>
              </w:rPr>
              <w:t>展创业担保贷款贴息、中央财政支持普惠金融发展示范区建设、农村金融机构定向费用补贴</w:t>
            </w:r>
          </w:p>
        </w:tc>
      </w:tr>
      <w:tr>
        <w:tblPrEx>
          <w:tblCellMar>
            <w:top w:w="0" w:type="dxa"/>
            <w:left w:w="0" w:type="dxa"/>
            <w:bottom w:w="0" w:type="dxa"/>
            <w:right w:w="0" w:type="dxa"/>
          </w:tblCellMar>
        </w:tblPrEx>
        <w:trPr>
          <w:trHeight w:val="85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就业补助资金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劳动就业局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cs="宋体" w:asciiTheme="minorEastAsia" w:hAnsiTheme="minorEastAsia"/>
                <w:color w:val="000000"/>
                <w:kern w:val="0"/>
                <w:szCs w:val="21"/>
                <w:lang w:eastAsia="zh-CN"/>
              </w:rPr>
            </w:pPr>
            <w:r>
              <w:rPr>
                <w:rFonts w:hint="default" w:cs="宋体" w:asciiTheme="minorEastAsia" w:hAnsiTheme="minorEastAsia"/>
                <w:color w:val="000000"/>
                <w:kern w:val="0"/>
                <w:szCs w:val="21"/>
                <w:lang w:eastAsia="zh-CN"/>
              </w:rPr>
              <w:t>职业培训补贴、技能鉴定补贴、高技能人才培养补助</w:t>
            </w:r>
            <w:r>
              <w:rPr>
                <w:rFonts w:hint="eastAsia" w:cs="宋体" w:asciiTheme="minorEastAsia" w:hAnsiTheme="minorEastAsia"/>
                <w:color w:val="000000"/>
                <w:kern w:val="0"/>
                <w:szCs w:val="21"/>
                <w:lang w:eastAsia="zh-CN"/>
              </w:rPr>
              <w:t>、</w:t>
            </w:r>
            <w:r>
              <w:rPr>
                <w:rFonts w:hint="default" w:cs="宋体" w:asciiTheme="minorEastAsia" w:hAnsiTheme="minorEastAsia"/>
                <w:color w:val="000000"/>
                <w:kern w:val="0"/>
                <w:szCs w:val="21"/>
                <w:lang w:eastAsia="zh-CN"/>
              </w:rPr>
              <w:t>社保补贴、公益性岗位补贴、就业见习补贴</w:t>
            </w:r>
          </w:p>
          <w:p>
            <w:pPr>
              <w:widowControl/>
              <w:spacing w:line="300" w:lineRule="exact"/>
              <w:jc w:val="left"/>
              <w:rPr>
                <w:rFonts w:hint="default" w:cs="宋体" w:asciiTheme="minorEastAsia" w:hAnsiTheme="minorEastAsia"/>
                <w:color w:val="000000"/>
                <w:kern w:val="0"/>
                <w:szCs w:val="21"/>
                <w:lang w:val="en-US" w:eastAsia="zh-CN"/>
              </w:rPr>
            </w:pPr>
            <w:r>
              <w:rPr>
                <w:rFonts w:hint="default" w:cs="宋体" w:asciiTheme="minorEastAsia" w:hAnsiTheme="minorEastAsia"/>
                <w:color w:val="000000"/>
                <w:kern w:val="0"/>
                <w:szCs w:val="21"/>
                <w:lang w:eastAsia="zh-CN"/>
              </w:rPr>
              <w:t>求</w:t>
            </w:r>
            <w:r>
              <w:rPr>
                <w:rFonts w:hint="default" w:cs="宋体" w:asciiTheme="minorEastAsia" w:hAnsiTheme="minorEastAsia"/>
                <w:color w:val="000000"/>
                <w:kern w:val="0"/>
                <w:szCs w:val="21"/>
                <w:lang w:val="en-US" w:eastAsia="zh-CN"/>
              </w:rPr>
              <w:t>职创业补贴、就业创业服务补助</w:t>
            </w:r>
          </w:p>
          <w:p>
            <w:pPr>
              <w:widowControl/>
              <w:spacing w:line="300" w:lineRule="exact"/>
              <w:jc w:val="left"/>
              <w:rPr>
                <w:rFonts w:hint="default" w:cs="宋体" w:asciiTheme="minorEastAsia" w:hAnsiTheme="minorEastAsia"/>
                <w:color w:val="000000"/>
                <w:kern w:val="0"/>
                <w:szCs w:val="21"/>
                <w:lang w:eastAsia="zh-CN"/>
              </w:rPr>
            </w:pPr>
          </w:p>
        </w:tc>
      </w:tr>
      <w:tr>
        <w:tblPrEx>
          <w:tblCellMar>
            <w:top w:w="0" w:type="dxa"/>
            <w:left w:w="0" w:type="dxa"/>
            <w:bottom w:w="0" w:type="dxa"/>
            <w:right w:w="0" w:type="dxa"/>
          </w:tblCellMar>
        </w:tblPrEx>
        <w:trPr>
          <w:trHeight w:val="85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val="en-US" w:eastAsia="zh-CN"/>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b/>
                <w:color w:val="000000"/>
                <w:kern w:val="0"/>
                <w:szCs w:val="21"/>
                <w:lang w:eastAsia="zh-CN"/>
              </w:rPr>
              <w:t>新增国债资金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cs="宋体" w:asciiTheme="minorEastAsia" w:hAnsiTheme="minorEastAsia"/>
                <w:color w:val="000000"/>
                <w:kern w:val="0"/>
                <w:szCs w:val="21"/>
              </w:rPr>
            </w:pPr>
          </w:p>
        </w:tc>
      </w:tr>
      <w:tr>
        <w:tblPrEx>
          <w:tblCellMar>
            <w:top w:w="0" w:type="dxa"/>
            <w:left w:w="0" w:type="dxa"/>
            <w:bottom w:w="0" w:type="dxa"/>
            <w:right w:w="0" w:type="dxa"/>
          </w:tblCellMar>
        </w:tblPrEx>
        <w:trPr>
          <w:trHeight w:val="85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23</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东北地区和京津冀受灾地区等高标准农田建设资金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农业局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灾后恢复、防灾减灾和高标准农田建设</w:t>
            </w:r>
          </w:p>
          <w:p>
            <w:pPr>
              <w:widowControl/>
              <w:spacing w:line="300" w:lineRule="exact"/>
              <w:jc w:val="left"/>
              <w:rPr>
                <w:rFonts w:cs="宋体" w:asciiTheme="minorEastAsia" w:hAnsiTheme="minorEastAsia"/>
                <w:color w:val="000000"/>
                <w:kern w:val="0"/>
                <w:szCs w:val="21"/>
              </w:rPr>
            </w:pPr>
          </w:p>
        </w:tc>
      </w:tr>
      <w:tr>
        <w:tblPrEx>
          <w:tblCellMar>
            <w:top w:w="0" w:type="dxa"/>
            <w:left w:w="0" w:type="dxa"/>
            <w:bottom w:w="0" w:type="dxa"/>
            <w:right w:w="0" w:type="dxa"/>
          </w:tblCellMar>
        </w:tblPrEx>
        <w:trPr>
          <w:trHeight w:val="85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24</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灌区建设改造和重点水土流失治理工程补助资金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水利局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灌区建设改造和重点水土流失治理工程</w:t>
            </w:r>
          </w:p>
        </w:tc>
      </w:tr>
      <w:tr>
        <w:tblPrEx>
          <w:tblCellMar>
            <w:top w:w="0" w:type="dxa"/>
            <w:left w:w="0" w:type="dxa"/>
            <w:bottom w:w="0" w:type="dxa"/>
            <w:right w:w="0" w:type="dxa"/>
          </w:tblCellMar>
        </w:tblPrEx>
        <w:trPr>
          <w:trHeight w:val="682"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25</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其他重点防洪工程补助资金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水利局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重点防洪工程</w:t>
            </w:r>
            <w:bookmarkStart w:id="0" w:name="_GoBack"/>
            <w:bookmarkEnd w:id="0"/>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一般性转移支付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79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26</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县级基本财力保障机制奖补资金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支持地方兜牢兜实“三保”底线，用于地方承担的基本民生支出及行政事业单位的人员经费、公用经费以及其他必要支出</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27</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生猪（牛羊）调出大县奖励资金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农业农村局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支持生猪（牛羊）产业发展</w:t>
            </w:r>
          </w:p>
        </w:tc>
      </w:tr>
      <w:tr>
        <w:tblPrEx>
          <w:tblCellMar>
            <w:top w:w="0" w:type="dxa"/>
            <w:left w:w="0" w:type="dxa"/>
            <w:bottom w:w="0" w:type="dxa"/>
            <w:right w:w="0" w:type="dxa"/>
          </w:tblCellMar>
        </w:tblPrEx>
        <w:trPr>
          <w:trHeight w:val="70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en-US" w:eastAsia="zh-CN"/>
              </w:rPr>
              <w:t>8</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中央财政衔接推进乡村振兴补助资金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乡村振兴局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巩固拓展脱贫攻坚成果和乡村振兴任务、以工代赈任务、少数民族发展任务、欠发达国有林场巩固提升任务</w:t>
            </w:r>
          </w:p>
        </w:tc>
      </w:tr>
      <w:tr>
        <w:tblPrEx>
          <w:tblCellMar>
            <w:top w:w="0" w:type="dxa"/>
            <w:left w:w="0" w:type="dxa"/>
            <w:bottom w:w="0" w:type="dxa"/>
            <w:right w:w="0" w:type="dxa"/>
          </w:tblCellMar>
        </w:tblPrEx>
        <w:trPr>
          <w:trHeight w:val="78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支持基层落实减税降费和重点民生等专项转移支付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29</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增值税留抵退税资金转移支付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支持地方落实留抵退税政策和保就业保基本民生</w:t>
            </w:r>
          </w:p>
        </w:tc>
      </w:tr>
      <w:tr>
        <w:tblPrEx>
          <w:tblCellMar>
            <w:top w:w="0" w:type="dxa"/>
            <w:left w:w="0" w:type="dxa"/>
            <w:bottom w:w="0" w:type="dxa"/>
            <w:right w:w="0" w:type="dxa"/>
          </w:tblCellMar>
        </w:tblPrEx>
        <w:trPr>
          <w:trHeight w:val="79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30</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补充县区财力资金转移支付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支持地方兜牢兜实“三保”底线，用于地方承担的基本民生支出及行政事业单位的人员经费、公用经费以及其他必要支出</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31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其他减税降费资金转移支付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支持地方落实减税降费政策和保就业保基本民生</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专项转移支付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9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32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普惠金融发展专项资金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hint="eastAsia" w:cs="宋体" w:asciiTheme="minorEastAsia" w:hAnsiTheme="minorEastAsia"/>
                <w:color w:val="000000"/>
                <w:kern w:val="0"/>
                <w:szCs w:val="21"/>
              </w:rPr>
              <w:t>劳动</w:t>
            </w:r>
            <w:r>
              <w:rPr>
                <w:rFonts w:cs="宋体" w:asciiTheme="minorEastAsia" w:hAnsiTheme="minorEastAsia"/>
                <w:color w:val="000000"/>
                <w:kern w:val="0"/>
                <w:szCs w:val="21"/>
              </w:rPr>
              <w:t>就业局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创业担保贷款奖补和贴息，农村金融机构定向费用补贴、中央财政支持普惠金融发展示范区奖补</w:t>
            </w:r>
          </w:p>
        </w:tc>
      </w:tr>
    </w:tbl>
    <w:p>
      <w:pPr>
        <w:spacing w:line="300" w:lineRule="exact"/>
        <w:rPr>
          <w:rFonts w:asciiTheme="minorEastAsia" w:hAnsiTheme="minorEastAsia"/>
          <w:szCs w:val="21"/>
        </w:rPr>
      </w:pPr>
    </w:p>
    <w:sectPr>
      <w:footerReference r:id="rId3" w:type="default"/>
      <w:footerReference r:id="rId4" w:type="even"/>
      <w:pgSz w:w="11906" w:h="16838"/>
      <w:pgMar w:top="2098" w:right="1474" w:bottom="1985" w:left="1588" w:header="851" w:footer="1701"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5581"/>
    </w:sdtPr>
    <w:sdtEndPr>
      <w:rPr>
        <w:rFonts w:asciiTheme="minorEastAsia" w:hAnsiTheme="minorEastAsia"/>
        <w:sz w:val="28"/>
        <w:szCs w:val="28"/>
      </w:rPr>
    </w:sdtEndPr>
    <w:sdtContent>
      <w:p>
        <w:pPr>
          <w:pStyle w:val="5"/>
          <w:ind w:right="210" w:rightChars="10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5586"/>
    </w:sdtPr>
    <w:sdtContent>
      <w:p>
        <w:pPr>
          <w:pStyle w:val="5"/>
          <w:ind w:left="210" w:leftChars="10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Q1ZWVjMTg0NzgxMTg3ZjVjOTczYzlmOWFiYmViYWQifQ=="/>
    <w:docVar w:name="KSO_WPS_MARK_KEY" w:val="d8d298e4-cdd8-4e18-9050-bc66a225e006"/>
  </w:docVars>
  <w:rsids>
    <w:rsidRoot w:val="00912E30"/>
    <w:rsid w:val="00073827"/>
    <w:rsid w:val="00120C35"/>
    <w:rsid w:val="001461A7"/>
    <w:rsid w:val="001726D3"/>
    <w:rsid w:val="001C07E1"/>
    <w:rsid w:val="00216CDA"/>
    <w:rsid w:val="002F6C38"/>
    <w:rsid w:val="003F769B"/>
    <w:rsid w:val="00451BA1"/>
    <w:rsid w:val="004523DD"/>
    <w:rsid w:val="004C4693"/>
    <w:rsid w:val="004D559D"/>
    <w:rsid w:val="004F7C54"/>
    <w:rsid w:val="006050F8"/>
    <w:rsid w:val="00625373"/>
    <w:rsid w:val="00641554"/>
    <w:rsid w:val="006950CA"/>
    <w:rsid w:val="007672F7"/>
    <w:rsid w:val="00805C4C"/>
    <w:rsid w:val="00912E30"/>
    <w:rsid w:val="00A04791"/>
    <w:rsid w:val="00A401EB"/>
    <w:rsid w:val="00A54F2D"/>
    <w:rsid w:val="00AA6EC3"/>
    <w:rsid w:val="00AF2901"/>
    <w:rsid w:val="00C32257"/>
    <w:rsid w:val="00C7692B"/>
    <w:rsid w:val="00CF5024"/>
    <w:rsid w:val="00D12E4D"/>
    <w:rsid w:val="00D74829"/>
    <w:rsid w:val="00E72BDE"/>
    <w:rsid w:val="00F14517"/>
    <w:rsid w:val="00F23077"/>
    <w:rsid w:val="00F8541C"/>
    <w:rsid w:val="00FB4677"/>
    <w:rsid w:val="00FD0889"/>
    <w:rsid w:val="018A520D"/>
    <w:rsid w:val="084A2215"/>
    <w:rsid w:val="09E20851"/>
    <w:rsid w:val="11FF0E4D"/>
    <w:rsid w:val="13E96481"/>
    <w:rsid w:val="16BD73E8"/>
    <w:rsid w:val="17E357FF"/>
    <w:rsid w:val="182A27D9"/>
    <w:rsid w:val="18E13683"/>
    <w:rsid w:val="1B0E66C8"/>
    <w:rsid w:val="1C510852"/>
    <w:rsid w:val="2B1B4F12"/>
    <w:rsid w:val="329A602B"/>
    <w:rsid w:val="3A4C3903"/>
    <w:rsid w:val="407766AF"/>
    <w:rsid w:val="413B4897"/>
    <w:rsid w:val="4B406542"/>
    <w:rsid w:val="4BAB3A41"/>
    <w:rsid w:val="4CCE21E7"/>
    <w:rsid w:val="4DF70754"/>
    <w:rsid w:val="58AD1504"/>
    <w:rsid w:val="5CB61019"/>
    <w:rsid w:val="5E4F0EA3"/>
    <w:rsid w:val="6D1A3CF3"/>
    <w:rsid w:val="6DDE14B3"/>
    <w:rsid w:val="6EBB6729"/>
    <w:rsid w:val="6FFB3038"/>
    <w:rsid w:val="716F2752"/>
    <w:rsid w:val="73D75A58"/>
    <w:rsid w:val="77FAF695"/>
    <w:rsid w:val="7BEDF3BE"/>
    <w:rsid w:val="F77BA058"/>
    <w:rsid w:val="FC7F5B4E"/>
    <w:rsid w:val="FFF76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99"/>
    <w:rPr>
      <w:kern w:val="2"/>
      <w:sz w:val="18"/>
      <w:szCs w:val="18"/>
    </w:rPr>
  </w:style>
  <w:style w:type="character" w:customStyle="1" w:styleId="14">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1619</Words>
  <Characters>1644</Characters>
  <Lines>12</Lines>
  <Paragraphs>3</Paragraphs>
  <TotalTime>0</TotalTime>
  <ScaleCrop>false</ScaleCrop>
  <LinksUpToDate>false</LinksUpToDate>
  <CharactersWithSpaces>1644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2022-11-26T04:38:00Z</dcterms:created>
  <dc:creator>Administrator</dc:creator>
  <cp:lastModifiedBy>Administrator</cp:lastModifiedBy>
  <cp:lastPrinted>2024-02-02T01:11:55Z</cp:lastPrinted>
  <dcterms:modified xsi:type="dcterms:W3CDTF">2024-02-02T02:59:08Z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0BC6872EABEE42CF812FA2BCF78FB8A5_12</vt:lpwstr>
  </property>
</Properties>
</file>