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樟树市人民政府办公室2023年</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政府信息公开工作年度报告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樟树市人民政府办公室结合樟树市人民政府网站、樟树市政府信息公开平台等有关统计数据编制。本年度报告中所列数据的统计期限自2023年1月1日起至2023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人民政府办公室联系：</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地址：江西省樟树市药都南大道25号政府办公大楼323室</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邮编：331200</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电话：0795-7333129</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电子邮箱：jxzsxx@yichun.gov.cn</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2023年，樟树市坚持以习近平新时代中国特色社会主义思想为指导，深入学习贯彻习近平总书记视察江西重要讲话精神，按照国务院和省、宜春市关于政务信息公开工作的决策部署和总体要求，遵循公正、公平、合法、便民的原则，坚持以公开为常态，不公开为例外的原则，把政府信息公开作为改进工作作风和机关形象的重要载体，精心组织，规范进行，有效保障了群众的知情权、参与权、监督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_GB2312" w:hAnsi="楷体_GB2312" w:eastAsia="楷体_GB2312" w:cs="楷体_GB2312"/>
          <w:b w:val="0"/>
          <w:bCs w:val="0"/>
          <w:lang w:val="en-US" w:eastAsia="zh-CN"/>
        </w:rPr>
      </w:pPr>
      <w:r>
        <w:rPr>
          <w:rFonts w:hint="eastAsia" w:ascii="楷体_GB2312" w:hAnsi="楷体_GB2312" w:eastAsia="楷体_GB2312" w:cs="楷体_GB2312"/>
          <w:b w:val="0"/>
          <w:bCs w:val="0"/>
          <w:lang w:val="en-US" w:eastAsia="zh-CN"/>
        </w:rPr>
        <w:t>(一)主动公开</w:t>
      </w:r>
    </w:p>
    <w:p>
      <w:pPr>
        <w:keepNext w:val="0"/>
        <w:keepLines w:val="0"/>
        <w:pageBreakBefore w:val="0"/>
        <w:widowControl w:val="0"/>
        <w:kinsoku/>
        <w:wordWrap/>
        <w:overflowPunct/>
        <w:topLinePunct w:val="0"/>
        <w:autoSpaceDE/>
        <w:autoSpaceDN/>
        <w:bidi w:val="0"/>
        <w:adjustRightInd/>
        <w:snapToGrid/>
        <w:spacing w:line="560" w:lineRule="exact"/>
        <w:ind w:firstLine="59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sz w:val="30"/>
          <w:szCs w:val="30"/>
          <w:lang w:val="en-US" w:eastAsia="zh-CN"/>
        </w:rPr>
        <w:t>2023年</w:t>
      </w:r>
      <w:r>
        <w:rPr>
          <w:rFonts w:hint="eastAsia" w:ascii="仿宋_GB2312" w:hAnsi="仿宋_GB2312" w:eastAsia="仿宋_GB2312" w:cs="仿宋_GB2312"/>
          <w:lang w:val="en-US" w:eastAsia="zh-CN"/>
        </w:rPr>
        <w:t>，樟树市政府门户网站公开信息18090条（其中法定主动公开内容更新2427条，政府部门信息公开更新11945条，政府网站其余各栏目信息3718条），微信公众号发布信息408条。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1.推动“双一号工程”信息公开。</w:t>
      </w:r>
      <w:r>
        <w:rPr>
          <w:rFonts w:hint="eastAsia" w:ascii="仿宋_GB2312" w:hAnsi="仿宋_GB2312" w:eastAsia="仿宋_GB2312" w:cs="仿宋_GB2312"/>
          <w:lang w:val="en-US" w:eastAsia="zh-CN"/>
        </w:rPr>
        <w:t>在政府门户网站开设了“数字经济”“优化营商环境”专题，集中发布了相关政策举措、工作进展、项目落地等信息139条。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2.强化民生领域信息发布。</w:t>
      </w:r>
      <w:r>
        <w:rPr>
          <w:rFonts w:hint="eastAsia" w:ascii="仿宋_GB2312" w:hAnsi="仿宋_GB2312" w:eastAsia="仿宋_GB2312" w:cs="仿宋_GB2312"/>
          <w:lang w:val="en-US" w:eastAsia="zh-CN"/>
        </w:rPr>
        <w:t>聚焦群众关注的住房、教育、医疗、卫生、养老等热点，共发布信息634条。其中住房保障信息50条、医疗卫生信息28条、房屋征收信息8条、养老服务信息20条、减税降费信息55条、就业创业信息17条、社会救助信息35条、教育信息31条、公共文化体育信息39条、食品药品安全信息61条、市场监管信息47条、治安管理信息12条、安全生产信息16条、市政建设信息17条、涉农补贴信息19条，其余领域信息179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3.稳步提升政策解读质量。</w:t>
      </w:r>
      <w:r>
        <w:rPr>
          <w:rFonts w:hint="eastAsia" w:ascii="仿宋_GB2312" w:hAnsi="仿宋_GB2312" w:eastAsia="仿宋_GB2312" w:cs="仿宋_GB2312"/>
          <w:lang w:val="en-US" w:eastAsia="zh-CN"/>
        </w:rPr>
        <w:t>进一步推进并落实《樟树市政策解读专员制度》，坚持政策文件与解读材料“同起草、同审签、同发布”的工作机制。累计高质量制作并发布政策解读345篇（其中文字解读247篇、图文解读56篇、动画解读2篇、视频解读4篇、H5解读3篇、音频解读1篇、PPT解读30篇、领导解读2篇），其中视频解读作品《樟树市公共租赁住房租赁补贴发放实施办法》《樟树市“十四五”医疗卫生服务体系规划》在宜春市优秀政策解读材料评选活动中获评优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4.扎实推进“十县百乡”建设。</w:t>
      </w:r>
      <w:r>
        <w:rPr>
          <w:rFonts w:hint="eastAsia" w:ascii="仿宋_GB2312" w:hAnsi="仿宋_GB2312" w:eastAsia="仿宋_GB2312" w:cs="仿宋_GB2312"/>
          <w:lang w:val="en-US" w:eastAsia="zh-CN"/>
        </w:rPr>
        <w:t>按照“功能完备、因地制宜、便民实用”原则，扎实推进政务公开标准化规范化建设，高标准打造樟树市政务公开体验区，实现全市19个乡镇（街道）、290余个村（居、社区）全覆盖。</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5.常态化开展政府开放活动。</w:t>
      </w:r>
      <w:r>
        <w:rPr>
          <w:rFonts w:hint="eastAsia" w:ascii="仿宋_GB2312" w:hAnsi="仿宋_GB2312" w:eastAsia="仿宋_GB2312" w:cs="仿宋_GB2312"/>
          <w:lang w:val="en-US" w:eastAsia="zh-CN"/>
        </w:rPr>
        <w:t>2023年4月、8月，分两次集中开展了政府系统“固定开放月”活动。活动累计开展56场，参加活动人数1013人次，征集意见建议416条（其中现场答复办结的359条），群众满意率达100%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_GB2312" w:hAnsi="楷体_GB2312" w:eastAsia="楷体_GB2312" w:cs="楷体_GB2312"/>
          <w:b w:val="0"/>
          <w:bCs w:val="0"/>
          <w:lang w:val="en-US" w:eastAsia="zh-CN"/>
        </w:rPr>
      </w:pPr>
      <w:r>
        <w:rPr>
          <w:rFonts w:hint="eastAsia" w:ascii="楷体_GB2312" w:hAnsi="楷体_GB2312" w:eastAsia="楷体_GB2312" w:cs="楷体_GB2312"/>
          <w:b w:val="0"/>
          <w:bCs w:val="0"/>
          <w:lang w:val="en-US" w:eastAsia="zh-CN"/>
        </w:rPr>
        <w:t>(二)依申请公开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收到政府信息公开申请2件（均为通过政府网站线上申请）。所有申请事项均在期限内办结（平均5.5天），没有引起行政复议或诉讼等情况。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_GB2312" w:hAnsi="楷体_GB2312" w:eastAsia="楷体_GB2312" w:cs="楷体_GB2312"/>
          <w:b w:val="0"/>
          <w:bCs w:val="0"/>
          <w:lang w:val="en-US" w:eastAsia="zh-CN"/>
        </w:rPr>
      </w:pPr>
      <w:r>
        <w:rPr>
          <w:rFonts w:hint="eastAsia" w:ascii="楷体_GB2312" w:hAnsi="楷体_GB2312" w:eastAsia="楷体_GB2312" w:cs="楷体_GB2312"/>
          <w:b w:val="0"/>
          <w:bCs w:val="0"/>
          <w:lang w:val="en-US" w:eastAsia="zh-CN"/>
        </w:rPr>
        <w:t>(三)政府信息管理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严格遵照《政府信息公开条例》有关规定，建立健全政府信息发布保密审查机制，明确信息发布“三审三校”流程，对市政府门户网站及微信公众号拟公开的政府信息进行严格内容审核，确保信息发布准确、安全、高效。利用错敏词库常态化开展自查自纠，督促问题整改落实。</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_GB2312" w:hAnsi="楷体_GB2312" w:eastAsia="楷体_GB2312" w:cs="楷体_GB2312"/>
          <w:b w:val="0"/>
          <w:bCs w:val="0"/>
          <w:lang w:val="en-US" w:eastAsia="zh-CN"/>
        </w:rPr>
      </w:pPr>
      <w:r>
        <w:rPr>
          <w:rFonts w:hint="eastAsia" w:ascii="楷体_GB2312" w:hAnsi="楷体_GB2312" w:eastAsia="楷体_GB2312" w:cs="楷体_GB2312"/>
          <w:b w:val="0"/>
          <w:bCs w:val="0"/>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1.强化政务新媒体发布。</w:t>
      </w:r>
      <w:r>
        <w:rPr>
          <w:rFonts w:hint="eastAsia" w:ascii="仿宋_GB2312" w:hAnsi="仿宋_GB2312" w:eastAsia="仿宋_GB2312" w:cs="仿宋_GB2312"/>
          <w:lang w:val="en-US" w:eastAsia="zh-CN"/>
        </w:rPr>
        <w:t>樟树市开设有“樟树市政府网”微信公众号，工作日每天更新，从政务公开的角度，针对樟树市各部门惠民、利民的政策发布进行不同深度的解读。</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2.政府网站互动回应。</w:t>
      </w:r>
      <w:r>
        <w:rPr>
          <w:rFonts w:hint="eastAsia" w:ascii="仿宋_GB2312" w:hAnsi="仿宋_GB2312" w:eastAsia="仿宋_GB2312" w:cs="仿宋_GB2312"/>
          <w:lang w:val="en-US" w:eastAsia="zh-CN"/>
        </w:rPr>
        <w:t>樟树市人民政府网站互动采用外链“12345”政务服务热线平台、江西省“五型”政府建设监督平台的形式互动，以图形化的方式在政府网站的“互动交流”栏目公示办结率、满意率等信息，接受市民监督。2023年收到“你建言我来办”1条，收到12345平台转办单9件，均在第一时间协调处理，并于3个工作日内回复办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_GB2312" w:hAnsi="楷体_GB2312" w:eastAsia="楷体_GB2312" w:cs="楷体_GB2312"/>
          <w:b w:val="0"/>
          <w:bCs w:val="0"/>
          <w:lang w:val="en-US" w:eastAsia="zh-CN"/>
        </w:rPr>
      </w:pPr>
      <w:r>
        <w:rPr>
          <w:rFonts w:hint="eastAsia" w:ascii="楷体_GB2312" w:hAnsi="楷体_GB2312" w:eastAsia="楷体_GB2312" w:cs="楷体_GB2312"/>
          <w:b w:val="0"/>
          <w:bCs w:val="0"/>
          <w:lang w:val="en-US" w:eastAsia="zh-CN"/>
        </w:rPr>
        <w:t>(五)监督保障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1.人员机构保障到位。</w:t>
      </w:r>
      <w:r>
        <w:rPr>
          <w:rFonts w:hint="eastAsia" w:ascii="仿宋_GB2312" w:hAnsi="仿宋_GB2312" w:eastAsia="仿宋_GB2312" w:cs="仿宋_GB2312"/>
          <w:lang w:val="en-US" w:eastAsia="zh-CN"/>
        </w:rPr>
        <w:t>出台了政务公开责任分工有关文件，成立了由市委常委、常务副市长任组长、各相关单位分管领导为成员的政府信息公开工作领导小组，由市政府办负责日常统筹指导，各部门单位、乡镇（街道）联动推进。组建由100余人组成的政务公开分管领导、政策解读专员、政务公开联络员三支队伍，形成一套以“联络员开展业务、专员把关政策解读、分管领导督业务”的主体责任机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2.领导高度重视。</w:t>
      </w:r>
      <w:r>
        <w:rPr>
          <w:rFonts w:hint="eastAsia" w:ascii="仿宋_GB2312" w:hAnsi="仿宋_GB2312" w:eastAsia="仿宋_GB2312" w:cs="仿宋_GB2312"/>
          <w:lang w:val="en-US" w:eastAsia="zh-CN"/>
        </w:rPr>
        <w:t>主要领导在市政府常务会上听取了政务公开汇报，定期调度听取政务公开工作情况汇报，高位推动政务公开工作。分管领导牵头具体推动政务公开工作，建立了政务公开常态化调度机制，7月中旬召开了政务公开工作调度推进会，明确了重点任务和责任，切实推进了政务公开各项工作任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3.开展业务培训。</w:t>
      </w:r>
      <w:r>
        <w:rPr>
          <w:rFonts w:hint="eastAsia" w:ascii="仿宋_GB2312" w:hAnsi="仿宋_GB2312" w:eastAsia="仿宋_GB2312" w:cs="仿宋_GB2312"/>
          <w:lang w:val="en-US" w:eastAsia="zh-CN"/>
        </w:rPr>
        <w:t>全年开展了6次业务培训，分别就什么是政务公开、政务公开工作要点、政策解读怎么做、村（居）务信息公开等专题进行了全面系统的业务培训。通过培训凝聚了共识、也极大提高了业务水平。</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6"/>
        <w:tblW w:w="9039" w:type="dxa"/>
        <w:jc w:val="center"/>
        <w:tblInd w:w="0" w:type="dxa"/>
        <w:shd w:val="clear" w:color="auto" w:fill="auto"/>
        <w:tblLayout w:type="fixed"/>
        <w:tblCellMar>
          <w:top w:w="0" w:type="dxa"/>
          <w:left w:w="0" w:type="dxa"/>
          <w:bottom w:w="0" w:type="dxa"/>
          <w:right w:w="0" w:type="dxa"/>
        </w:tblCellMar>
      </w:tblPr>
      <w:tblGrid>
        <w:gridCol w:w="1734"/>
        <w:gridCol w:w="2435"/>
        <w:gridCol w:w="2435"/>
        <w:gridCol w:w="2435"/>
      </w:tblGrid>
      <w:tr>
        <w:tblPrEx>
          <w:tblLayout w:type="fixed"/>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第二十条第（一）项</w:t>
            </w:r>
          </w:p>
        </w:tc>
      </w:tr>
      <w:tr>
        <w:tblPrEx>
          <w:shd w:val="clear" w:color="auto" w:fill="auto"/>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auto"/>
              <w:outlineLvl w:val="9"/>
              <w:rPr>
                <w:rFonts w:hint="eastAsia" w:ascii="仿宋_GB2312" w:hAnsi="仿宋_GB2312" w:eastAsia="仿宋_GB2312" w:cs="仿宋_GB2312"/>
                <w:lang w:val="en-US" w:eastAsia="zh-CN"/>
              </w:rPr>
            </w:pPr>
            <w:r>
              <w:rPr>
                <w:rFonts w:hint="eastAsia" w:ascii="仿宋" w:hAnsi="仿宋" w:eastAsia="仿宋_GB2312" w:cs="仿宋"/>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auto"/>
              <w:outlineLvl w:val="9"/>
              <w:rPr>
                <w:rFonts w:hint="eastAsia" w:ascii="仿宋_GB2312" w:hAnsi="仿宋_GB2312" w:eastAsia="仿宋_GB2312" w:cs="仿宋_GB2312"/>
                <w:lang w:val="en-US" w:eastAsia="zh-CN"/>
              </w:rPr>
            </w:pPr>
            <w:r>
              <w:rPr>
                <w:rFonts w:hint="eastAsia" w:ascii="仿宋" w:hAnsi="仿宋" w:eastAsia="仿宋_GB2312" w:cs="仿宋"/>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auto"/>
              <w:outlineLvl w:val="9"/>
              <w:rPr>
                <w:rFonts w:hint="eastAsia" w:ascii="仿宋_GB2312" w:hAnsi="仿宋_GB2312" w:eastAsia="仿宋_GB2312" w:cs="仿宋_GB2312"/>
                <w:lang w:val="en-US" w:eastAsia="zh-CN"/>
              </w:rPr>
            </w:pPr>
            <w:r>
              <w:rPr>
                <w:rFonts w:hint="eastAsia" w:ascii="仿宋" w:hAnsi="仿宋" w:eastAsia="仿宋_GB2312" w:cs="仿宋"/>
                <w:lang w:val="en-US" w:eastAsia="zh-CN"/>
              </w:rPr>
              <w:t>0</w:t>
            </w:r>
          </w:p>
        </w:tc>
      </w:tr>
      <w:tr>
        <w:tblPrEx>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仿宋" w:hAnsi="仿宋" w:eastAsia="仿宋_GB2312" w:cs="仿宋"/>
                <w:highlight w:val="none"/>
                <w:lang w:val="en-US" w:eastAsia="zh-CN"/>
              </w:rPr>
              <w:t>5</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仿宋" w:hAnsi="仿宋" w:eastAsia="仿宋_GB2312" w:cs="仿宋"/>
                <w:highlight w:val="none"/>
                <w:lang w:val="en-US" w:eastAsia="zh-CN"/>
              </w:rPr>
              <w:t>65</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仿宋" w:hAnsi="仿宋" w:eastAsia="仿宋_GB2312" w:cs="仿宋"/>
                <w:highlight w:val="none"/>
                <w:lang w:val="en-US" w:eastAsia="zh-CN"/>
              </w:rPr>
              <w:t>60</w:t>
            </w:r>
          </w:p>
        </w:tc>
      </w:tr>
      <w:tr>
        <w:tblPrEx>
          <w:tblLayout w:type="fixed"/>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第二十条第（五）项</w:t>
            </w:r>
          </w:p>
        </w:tc>
      </w:tr>
      <w:tr>
        <w:tblPrEx>
          <w:shd w:val="clear" w:color="auto" w:fill="auto"/>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auto"/>
              <w:outlineLvl w:val="9"/>
              <w:rPr>
                <w:rFonts w:hint="eastAsia" w:ascii="仿宋_GB2312" w:hAnsi="仿宋_GB2312" w:eastAsia="仿宋_GB2312" w:cs="仿宋_GB2312"/>
              </w:rPr>
            </w:pPr>
            <w:r>
              <w:rPr>
                <w:rFonts w:hint="eastAsia" w:ascii="仿宋" w:hAnsi="仿宋" w:eastAsia="仿宋_GB2312" w:cs="仿宋"/>
                <w:highlight w:val="none"/>
                <w:lang w:val="en-US" w:eastAsia="zh-CN"/>
              </w:rPr>
              <w:t>0</w:t>
            </w:r>
          </w:p>
        </w:tc>
      </w:tr>
      <w:tr>
        <w:tblPrEx>
          <w:shd w:val="clear" w:color="auto" w:fill="auto"/>
          <w:tblLayout w:type="fixed"/>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第二十条第（六）项</w:t>
            </w:r>
          </w:p>
        </w:tc>
      </w:tr>
      <w:tr>
        <w:tblPrEx>
          <w:shd w:val="clear" w:color="auto" w:fill="auto"/>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本年处理决定数量</w:t>
            </w:r>
          </w:p>
        </w:tc>
      </w:tr>
      <w:tr>
        <w:tblPrEx>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auto"/>
              <w:outlineLvl w:val="9"/>
              <w:rPr>
                <w:rFonts w:hint="eastAsia" w:ascii="仿宋_GB2312" w:hAnsi="仿宋_GB2312" w:eastAsia="仿宋_GB2312" w:cs="仿宋_GB2312"/>
                <w:highlight w:val="yellow"/>
                <w:lang w:val="en-US" w:eastAsia="zh-CN"/>
              </w:rPr>
            </w:pPr>
            <w:r>
              <w:rPr>
                <w:rFonts w:hint="eastAsia" w:ascii="仿宋" w:hAnsi="仿宋" w:eastAsia="仿宋_GB2312" w:cs="仿宋"/>
                <w:highlight w:val="none"/>
                <w:lang w:val="en-US" w:eastAsia="zh-CN"/>
              </w:rPr>
              <w:t>0</w:t>
            </w:r>
          </w:p>
        </w:tc>
      </w:tr>
      <w:tr>
        <w:tblPrEx>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auto"/>
              <w:outlineLvl w:val="9"/>
              <w:rPr>
                <w:rFonts w:hint="eastAsia" w:ascii="仿宋_GB2312" w:hAnsi="仿宋_GB2312" w:eastAsia="仿宋_GB2312" w:cs="仿宋_GB2312"/>
                <w:highlight w:val="yellow"/>
                <w:lang w:val="en-US" w:eastAsia="zh-CN"/>
              </w:rPr>
            </w:pPr>
            <w:r>
              <w:rPr>
                <w:rFonts w:hint="eastAsia" w:ascii="仿宋" w:hAnsi="仿宋" w:eastAsia="仿宋_GB2312" w:cs="仿宋"/>
                <w:highlight w:val="none"/>
                <w:lang w:val="en-US" w:eastAsia="zh-CN"/>
              </w:rPr>
              <w:t>0</w:t>
            </w:r>
          </w:p>
        </w:tc>
      </w:tr>
      <w:tr>
        <w:tblPrEx>
          <w:tblLayout w:type="fixed"/>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第二十条第（八）项</w:t>
            </w:r>
          </w:p>
        </w:tc>
      </w:tr>
      <w:tr>
        <w:tblPrEx>
          <w:shd w:val="clear" w:color="auto" w:fill="auto"/>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本年收费金额（单位：万元）</w:t>
            </w:r>
          </w:p>
        </w:tc>
      </w:tr>
      <w:tr>
        <w:tblPrEx>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仿宋_GB2312" w:eastAsia="仿宋_GB2312" w:cs="仿宋_GB2312"/>
              </w:rP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auto"/>
              <w:outlineLvl w:val="9"/>
              <w:rPr>
                <w:rFonts w:hint="eastAsia" w:ascii="仿宋_GB2312" w:hAnsi="仿宋_GB2312" w:eastAsia="仿宋_GB2312" w:cs="仿宋_GB2312"/>
                <w:sz w:val="24"/>
                <w:szCs w:val="24"/>
                <w:lang w:val="en-US"/>
              </w:rPr>
            </w:pPr>
            <w:r>
              <w:rPr>
                <w:rFonts w:hint="eastAsia" w:ascii="仿宋" w:hAnsi="仿宋" w:eastAsia="仿宋_GB2312" w:cs="仿宋"/>
                <w:highlight w:val="none"/>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6"/>
        <w:tblW w:w="90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34"/>
        <w:gridCol w:w="723"/>
        <w:gridCol w:w="2775"/>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ascii="楷体" w:hAnsi="楷体" w:eastAsia="楷体_GB2312"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hint="eastAsia" w:ascii="仿宋_GB2312" w:hAnsi="仿宋_GB2312" w:eastAsia="仿宋_GB2312" w:cs="仿宋_GB2312"/>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outlineLvl w:val="9"/>
              <w:rPr>
                <w:rFonts w:eastAsia="仿宋_GB2312"/>
              </w:rPr>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outlineLvl w:val="9"/>
              <w:rPr>
                <w:rFonts w:eastAsia="仿宋_GB2312"/>
              </w:rPr>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三、本年度办理结果</w:t>
            </w:r>
          </w:p>
        </w:tc>
        <w:tc>
          <w:tcPr>
            <w:tcW w:w="349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349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（二）部分公开</w:t>
            </w:r>
            <w:r>
              <w:rPr>
                <w:rFonts w:hint="eastAsia" w:ascii="楷体" w:hAnsi="楷体" w:eastAsia="楷体_GB2312"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（三）不予公开</w:t>
            </w: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（四）无法提供</w:t>
            </w: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5</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（五）不予处理</w:t>
            </w: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779" w:hRule="atLeast"/>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277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both"/>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（六）其他处理</w:t>
            </w: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both"/>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both"/>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72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仿宋_GB2312" w:hAnsi="仿宋_GB2312" w:eastAsia="仿宋_GB2312" w:cs="仿宋_GB2312"/>
                <w:kern w:val="0"/>
                <w:sz w:val="20"/>
                <w:szCs w:val="20"/>
                <w:lang w:val="en-US" w:eastAsia="zh-CN" w:bidi="ar"/>
              </w:rPr>
            </w:pPr>
          </w:p>
        </w:tc>
        <w:tc>
          <w:tcPr>
            <w:tcW w:w="349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2</w:t>
            </w:r>
            <w:bookmarkStart w:id="0" w:name="_GoBack"/>
            <w:bookmarkEnd w:id="0"/>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四、因政府信息公开工作被申请行政复议、提起行政诉讼情况</w:t>
      </w:r>
    </w:p>
    <w:tbl>
      <w:tblPr>
        <w:tblStyle w:val="7"/>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Layout w:type="fixed"/>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highlight w:val="none"/>
                <w:lang w:val="en-US" w:eastAsia="zh-CN"/>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highlight w:val="none"/>
                <w:lang w:val="en-US" w:eastAsia="zh-CN"/>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highlight w:val="none"/>
                <w:lang w:val="en-US" w:eastAsia="zh-CN"/>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highlight w:val="none"/>
                <w:lang w:val="en-US" w:eastAsia="zh-CN"/>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highlight w:val="none"/>
                <w:lang w:val="en-US" w:eastAsia="zh-CN"/>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highlight w:val="none"/>
                <w:lang w:val="en-US" w:eastAsia="zh-CN"/>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highlight w:val="none"/>
                <w:lang w:val="en-US" w:eastAsia="zh-CN"/>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highlight w:val="none"/>
                <w:lang w:val="en-US" w:eastAsia="zh-CN"/>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highlight w:val="none"/>
                <w:lang w:val="en-US" w:eastAsia="zh-CN"/>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highlight w:val="none"/>
                <w:lang w:val="en-US" w:eastAsia="zh-CN"/>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highlight w:val="none"/>
                <w:lang w:val="en-US" w:eastAsia="zh-CN"/>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highlight w:val="none"/>
                <w:lang w:val="en-US" w:eastAsia="zh-CN"/>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highlight w:val="none"/>
                <w:lang w:val="en-US" w:eastAsia="zh-CN"/>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highlight w:val="none"/>
                <w:lang w:val="en-US" w:eastAsia="zh-CN"/>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highlight w:val="none"/>
                <w:lang w:val="en-US" w:eastAsia="zh-CN"/>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2022年比较突出的思想重视还不够、“线上”稿件发布不及时、稿件质量不高、在公开内容以群众需求结合还不够紧密等问题，经过市政府办公室、市政府各部门、各乡镇（街道）的共同努力，在2023年已经有了大幅改善和提升。同时，我们也充分认识到自身在政府信息公开工作中依然还存在一些问题和不足，主要表现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一是工作主动性还不够。</w:t>
      </w:r>
      <w:r>
        <w:rPr>
          <w:rFonts w:hint="eastAsia" w:ascii="仿宋_GB2312" w:hAnsi="仿宋_GB2312" w:eastAsia="仿宋_GB2312" w:cs="仿宋_GB2312"/>
          <w:lang w:val="en-US" w:eastAsia="zh-CN"/>
        </w:rPr>
        <w:t>少数人员的政府信息主动公开意识不强，对于有明确指标要求的内容基本上能及时、规范地进行公开，而对于工作中推进情况、民众关心关切的事项往往有所疏忽。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二是线下公开比例不高。</w:t>
      </w:r>
      <w:r>
        <w:rPr>
          <w:rFonts w:hint="eastAsia" w:ascii="仿宋_GB2312" w:hAnsi="仿宋_GB2312" w:eastAsia="仿宋_GB2312" w:cs="仿宋_GB2312"/>
          <w:lang w:val="en-US" w:eastAsia="zh-CN"/>
        </w:rPr>
        <w:t>政务公开专区能够公开政府公报、办事指南、文件汇编、公示类信息，但相对于线上（政府网站和政务新媒体）公开的信息而言，在政务公开专区公开的资料较少，没有与线上信息很好地进行同步展示。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三是人员队伍不够稳定。</w:t>
      </w:r>
      <w:r>
        <w:rPr>
          <w:rFonts w:hint="eastAsia" w:ascii="仿宋_GB2312" w:hAnsi="仿宋_GB2312" w:eastAsia="仿宋_GB2312" w:cs="仿宋_GB2312"/>
          <w:lang w:val="en-US" w:eastAsia="zh-CN"/>
        </w:rPr>
        <w:t>受工作调整、人员调动等影响，具体从事政务公开工作的分管领导、政策解读专员、具体工作人员队伍变化较大，新接手的同志往往对业务还不够熟悉，在一定程度上影响了工作的落实推进。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下一步，我们将进一步规范政务公开行为，采取多形式、多渠道拓展覆盖面，拓宽公开渠道，积极探索政务公开的新形式、新渠道、新途径，把涉及人民群众切身利益的各类事项作为公开的重点，把政务公开办成一个群众满意的民心工程。主要做好以下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一是强化工作责任落实。</w:t>
      </w:r>
      <w:r>
        <w:rPr>
          <w:rFonts w:hint="eastAsia" w:ascii="仿宋_GB2312" w:hAnsi="仿宋_GB2312" w:eastAsia="仿宋_GB2312" w:cs="仿宋_GB2312"/>
          <w:lang w:val="en-US" w:eastAsia="zh-CN"/>
        </w:rPr>
        <w:t>在政务公开工作列入考核的基础上，每季对政务公开工作进行排名并通报，同时定期召开政务公开专题调度会，明确任务责任，切实增强政务公开工作的主动性和自觉性。</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二是线上线下同步公开。</w:t>
      </w:r>
      <w:r>
        <w:rPr>
          <w:rFonts w:hint="eastAsia" w:ascii="仿宋_GB2312" w:hAnsi="仿宋_GB2312" w:eastAsia="仿宋_GB2312" w:cs="仿宋_GB2312"/>
          <w:lang w:val="en-US" w:eastAsia="zh-CN"/>
        </w:rPr>
        <w:t>进一步推进基层政务公开标准化规范化建设，力争做到线上线下同源发布、同步更新,不断提升线上线下信息的一致性。</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三是进一步加强业务培训。</w:t>
      </w:r>
      <w:r>
        <w:rPr>
          <w:rFonts w:hint="eastAsia" w:ascii="仿宋_GB2312" w:hAnsi="仿宋_GB2312" w:eastAsia="仿宋_GB2312" w:cs="仿宋_GB2312"/>
          <w:lang w:val="en-US" w:eastAsia="zh-CN"/>
        </w:rPr>
        <w:t>建立政务公开工作三支队伍（分管领导、政策解读专员、具体工作人员）的建设，探索并实行人员变更报备，进一步加强业务培训，力争缩短甚至消除人员调整带来的衔接断层。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2023年按照《国务院办公厅关于印发〈政府信息公开信息处理费管理办法〉的通知》（国办函〔2020〕109号）规定的按件、按量收费标准，本年度没有产生信息公开处理费。</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9B5932"/>
    <w:rsid w:val="00EC4910"/>
    <w:rsid w:val="02F54702"/>
    <w:rsid w:val="03C8557B"/>
    <w:rsid w:val="05654CB8"/>
    <w:rsid w:val="05F05B40"/>
    <w:rsid w:val="06DB7F27"/>
    <w:rsid w:val="07F4584C"/>
    <w:rsid w:val="09102C6F"/>
    <w:rsid w:val="0ACC2C81"/>
    <w:rsid w:val="0AE021D9"/>
    <w:rsid w:val="0BED0BAC"/>
    <w:rsid w:val="0D405B9A"/>
    <w:rsid w:val="0EC56BE4"/>
    <w:rsid w:val="0FAE63E2"/>
    <w:rsid w:val="124066C5"/>
    <w:rsid w:val="12AF3E2B"/>
    <w:rsid w:val="139D226A"/>
    <w:rsid w:val="140A1550"/>
    <w:rsid w:val="14D70BD4"/>
    <w:rsid w:val="15E42966"/>
    <w:rsid w:val="16036DD6"/>
    <w:rsid w:val="162031F9"/>
    <w:rsid w:val="16760A0D"/>
    <w:rsid w:val="1681526D"/>
    <w:rsid w:val="17A73E68"/>
    <w:rsid w:val="18485EDA"/>
    <w:rsid w:val="18D93B07"/>
    <w:rsid w:val="1A6B2177"/>
    <w:rsid w:val="1AF0455D"/>
    <w:rsid w:val="1AF81E4B"/>
    <w:rsid w:val="1B092ACD"/>
    <w:rsid w:val="1B9B0FC1"/>
    <w:rsid w:val="1BC15F08"/>
    <w:rsid w:val="1C5406EC"/>
    <w:rsid w:val="1E425582"/>
    <w:rsid w:val="202E1E51"/>
    <w:rsid w:val="206207B8"/>
    <w:rsid w:val="206B6C43"/>
    <w:rsid w:val="20C423BB"/>
    <w:rsid w:val="216D5B87"/>
    <w:rsid w:val="2189066F"/>
    <w:rsid w:val="21A32A3F"/>
    <w:rsid w:val="21A7465C"/>
    <w:rsid w:val="24E32850"/>
    <w:rsid w:val="254F7E52"/>
    <w:rsid w:val="25811B31"/>
    <w:rsid w:val="26146728"/>
    <w:rsid w:val="26FC1405"/>
    <w:rsid w:val="270058EA"/>
    <w:rsid w:val="27651E49"/>
    <w:rsid w:val="287E6C0D"/>
    <w:rsid w:val="2C27513E"/>
    <w:rsid w:val="2C460333"/>
    <w:rsid w:val="2ED05660"/>
    <w:rsid w:val="2EFA27F4"/>
    <w:rsid w:val="2F134D2B"/>
    <w:rsid w:val="2F186129"/>
    <w:rsid w:val="30195927"/>
    <w:rsid w:val="316739A6"/>
    <w:rsid w:val="32555BB0"/>
    <w:rsid w:val="325658DE"/>
    <w:rsid w:val="32A92CAF"/>
    <w:rsid w:val="34002B52"/>
    <w:rsid w:val="3448046D"/>
    <w:rsid w:val="355B733D"/>
    <w:rsid w:val="373A1C4C"/>
    <w:rsid w:val="37501B7F"/>
    <w:rsid w:val="37D50499"/>
    <w:rsid w:val="3903451F"/>
    <w:rsid w:val="3A1F4C30"/>
    <w:rsid w:val="3A4D6E28"/>
    <w:rsid w:val="3A8F65F1"/>
    <w:rsid w:val="3BB61625"/>
    <w:rsid w:val="3C5723C0"/>
    <w:rsid w:val="3CE65B03"/>
    <w:rsid w:val="3D44722E"/>
    <w:rsid w:val="3DED76CA"/>
    <w:rsid w:val="3F2260FE"/>
    <w:rsid w:val="41605AC0"/>
    <w:rsid w:val="43774FA6"/>
    <w:rsid w:val="45907AA2"/>
    <w:rsid w:val="464F6B73"/>
    <w:rsid w:val="474A0961"/>
    <w:rsid w:val="480228CB"/>
    <w:rsid w:val="486B0274"/>
    <w:rsid w:val="4969027C"/>
    <w:rsid w:val="4A6C6248"/>
    <w:rsid w:val="4AAB113C"/>
    <w:rsid w:val="4ADD06B7"/>
    <w:rsid w:val="4B014F94"/>
    <w:rsid w:val="4D443067"/>
    <w:rsid w:val="4DAF5A8D"/>
    <w:rsid w:val="4F5F685C"/>
    <w:rsid w:val="4F9B5932"/>
    <w:rsid w:val="50205493"/>
    <w:rsid w:val="5336467E"/>
    <w:rsid w:val="536F5F87"/>
    <w:rsid w:val="539A045C"/>
    <w:rsid w:val="546B3054"/>
    <w:rsid w:val="56363673"/>
    <w:rsid w:val="563E5708"/>
    <w:rsid w:val="582C0C95"/>
    <w:rsid w:val="58851FB1"/>
    <w:rsid w:val="596F52B9"/>
    <w:rsid w:val="5B715147"/>
    <w:rsid w:val="5C37293A"/>
    <w:rsid w:val="5C404C93"/>
    <w:rsid w:val="5CA327DF"/>
    <w:rsid w:val="5D91368F"/>
    <w:rsid w:val="60203689"/>
    <w:rsid w:val="602E3F69"/>
    <w:rsid w:val="60465DF9"/>
    <w:rsid w:val="605C2D26"/>
    <w:rsid w:val="628274D4"/>
    <w:rsid w:val="63604736"/>
    <w:rsid w:val="642A68FB"/>
    <w:rsid w:val="64391402"/>
    <w:rsid w:val="648E38BE"/>
    <w:rsid w:val="66FC3229"/>
    <w:rsid w:val="6756573E"/>
    <w:rsid w:val="6906625D"/>
    <w:rsid w:val="6A54678A"/>
    <w:rsid w:val="6AEC0DF6"/>
    <w:rsid w:val="6BEF6B75"/>
    <w:rsid w:val="6CD60491"/>
    <w:rsid w:val="6CFE64B7"/>
    <w:rsid w:val="6DCC05AB"/>
    <w:rsid w:val="6F541A84"/>
    <w:rsid w:val="6FD75466"/>
    <w:rsid w:val="70223F9F"/>
    <w:rsid w:val="70A44AA2"/>
    <w:rsid w:val="712552F6"/>
    <w:rsid w:val="71C051BF"/>
    <w:rsid w:val="71D057DD"/>
    <w:rsid w:val="71FA238D"/>
    <w:rsid w:val="7279763A"/>
    <w:rsid w:val="72884111"/>
    <w:rsid w:val="72D7567A"/>
    <w:rsid w:val="738855AB"/>
    <w:rsid w:val="73F7644F"/>
    <w:rsid w:val="740C7820"/>
    <w:rsid w:val="742339BF"/>
    <w:rsid w:val="74424C29"/>
    <w:rsid w:val="74640F81"/>
    <w:rsid w:val="74B75853"/>
    <w:rsid w:val="75656CA8"/>
    <w:rsid w:val="7578631A"/>
    <w:rsid w:val="75D02165"/>
    <w:rsid w:val="76310443"/>
    <w:rsid w:val="7679348E"/>
    <w:rsid w:val="76D24A39"/>
    <w:rsid w:val="772B4542"/>
    <w:rsid w:val="77330F53"/>
    <w:rsid w:val="79112F0F"/>
    <w:rsid w:val="7BC64A77"/>
    <w:rsid w:val="7D3D0BEB"/>
    <w:rsid w:val="7E557D41"/>
    <w:rsid w:val="7EFF1F21"/>
    <w:rsid w:val="7EFFC0FC"/>
    <w:rsid w:val="F6B3F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ome\user\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7</Pages>
  <Words>2695</Words>
  <Characters>2804</Characters>
  <Lines>0</Lines>
  <Paragraphs>0</Paragraphs>
  <TotalTime>3</TotalTime>
  <ScaleCrop>false</ScaleCrop>
  <LinksUpToDate>false</LinksUpToDate>
  <CharactersWithSpaces>2807</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2022-01-05T16:44:00Z</dcterms:created>
  <dc:creator>Administrator</dc:creator>
  <cp:lastModifiedBy>大数据发展中心</cp:lastModifiedBy>
  <dcterms:modified xsi:type="dcterms:W3CDTF">2024-01-30T10:32:36Z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