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Calibri" w:eastAsia="方正小标宋简体" w:cs="Times New Roman"/>
          <w:color w:val="000000"/>
          <w:sz w:val="44"/>
          <w:szCs w:val="44"/>
          <w:lang w:val="en-US" w:eastAsia="zh-CN"/>
        </w:rPr>
      </w:pPr>
      <w:r>
        <w:rPr>
          <w:rFonts w:hint="eastAsia" w:ascii="方正小标宋简体" w:hAnsi="Calibri" w:eastAsia="方正小标宋简体" w:cs="Times New Roman"/>
          <w:color w:val="000000"/>
          <w:sz w:val="44"/>
          <w:szCs w:val="44"/>
          <w:lang w:val="en-US" w:eastAsia="zh-CN"/>
        </w:rPr>
        <w:t>樟树市扶贫办2020年政府信息公开工作年度报告</w:t>
      </w:r>
    </w:p>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方正小标宋简体" w:hAnsi="Calibri" w:eastAsia="方正小标宋简体" w:cs="Times New Roman"/>
          <w:color w:val="000000"/>
          <w:sz w:val="44"/>
          <w:szCs w:val="44"/>
          <w:lang w:val="en-US" w:eastAsia="zh-CN"/>
        </w:rPr>
      </w:pP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Calibri" w:eastAsia="仿宋_GB2312" w:cs="Times New Roman"/>
          <w:sz w:val="32"/>
          <w:szCs w:val="32"/>
        </w:rPr>
      </w:pPr>
      <w:r>
        <w:rPr>
          <w:rFonts w:hint="eastAsia" w:ascii="仿宋_GB2312" w:hAnsi="Calibri" w:eastAsia="仿宋_GB2312" w:cs="Times New Roman"/>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樟树市扶贫办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www.zhangshu.gov.cn）下载。如对本报告有任何疑问，请联系（地址：樟树市楼门前6号，电话：0795-9621899，邮编：331200）。</w:t>
      </w:r>
    </w:p>
    <w:p>
      <w:pPr>
        <w:keepNext w:val="0"/>
        <w:keepLines w:val="0"/>
        <w:pageBreakBefore w:val="0"/>
        <w:numPr>
          <w:ilvl w:val="0"/>
          <w:numId w:val="1"/>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2020年樟树市扶贫办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紧紧围绕省委、省政府中心工作及社会群众关注关切，着力提升政府信息公开质量，推进拓宽政府信息公开渠道，不断增强政府信息公开实效。</w:t>
      </w:r>
    </w:p>
    <w:p>
      <w:pPr>
        <w:keepNext w:val="0"/>
        <w:keepLines w:val="0"/>
        <w:pageBreakBefore w:val="0"/>
        <w:kinsoku/>
        <w:overflowPunct/>
        <w:topLinePunct w:val="0"/>
        <w:autoSpaceDE/>
        <w:autoSpaceDN/>
        <w:bidi w:val="0"/>
        <w:adjustRightInd/>
        <w:snapToGrid/>
        <w:spacing w:beforeAutospacing="0" w:afterAutospacing="0" w:line="560" w:lineRule="exact"/>
        <w:ind w:firstLine="643" w:firstLineChars="200"/>
        <w:jc w:val="both"/>
        <w:textAlignment w:val="auto"/>
        <w:rPr>
          <w:rFonts w:hint="eastAsia" w:ascii="仿宋_GB2312" w:hAnsi="Calibri"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（一）主动公开</w:t>
      </w:r>
      <w:bookmarkStart w:id="0" w:name="_GoBack"/>
      <w:bookmarkEnd w:id="0"/>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Calibri" w:eastAsia="仿宋_GB2312" w:cs="Times New Roman"/>
          <w:sz w:val="32"/>
          <w:szCs w:val="32"/>
          <w:lang w:val="en-US" w:eastAsia="zh-CN"/>
        </w:rPr>
        <w:t>一是根据政务公开工作要求，我办根据政务公开相关工作要求，立足部门职责权限，按质按量的上传了信息，做到信息公开规范、及时、准确。二是公开行政权力运行信息。严格依法依规，全面进行清理，积极落实行政权力清单制度，着力保障人民群众的知情权，自觉接受群众监督。三是公开财政资金管理使用情况信息。按照规定在政务信息公开网上公开本部门预决算、“三公”经费使用和项目资金使用情况，进一步提高财政资金管理使用的透明度。2020年主动公开信息累计共公开信息92条。</w:t>
      </w:r>
    </w:p>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黑体" w:hAnsi="黑体" w:eastAsia="黑体" w:cs="黑体"/>
          <w:sz w:val="32"/>
          <w:szCs w:val="32"/>
          <w:lang w:val="en-US" w:eastAsia="zh-CN"/>
        </w:rPr>
        <w:t>二、主动公开政府信息情况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302"/>
        <w:gridCol w:w="2302"/>
        <w:gridCol w:w="2302"/>
        <w:gridCol w:w="231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center"/>
              <w:textAlignment w:val="auto"/>
            </w:pPr>
            <w:r>
              <w:rPr>
                <w:rStyle w:val="7"/>
              </w:rPr>
              <w:t>第二十条第（一）项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本年新制作数量</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本年新公开数量</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i w:val="0"/>
                <w:iCs w:val="0"/>
                <w:caps w:val="0"/>
                <w:color w:val="333333"/>
                <w:spacing w:val="0"/>
                <w:sz w:val="24"/>
                <w:szCs w:val="24"/>
                <w:shd w:val="clear" w:fill="FFFFFF"/>
              </w:rPr>
              <w:t>对外公开总数量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规章</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行政规范性文件</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center"/>
              <w:textAlignment w:val="auto"/>
            </w:pPr>
            <w:r>
              <w:rPr>
                <w:rStyle w:val="7"/>
              </w:rPr>
              <w:t>第二十条第（五）项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行政许可</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center"/>
              <w:textAlignment w:val="auto"/>
            </w:pPr>
            <w:r>
              <w:rPr>
                <w:rStyle w:val="7"/>
              </w:rPr>
              <w:t>第二十条第（六）项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本年处理决定数量</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行政处罚</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行政强制</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9735" w:type="dxa"/>
            <w:gridSpan w:val="4"/>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wordWrap w:val="0"/>
              <w:overflowPunct/>
              <w:topLinePunct w:val="0"/>
              <w:autoSpaceDE/>
              <w:autoSpaceDN/>
              <w:bidi w:val="0"/>
              <w:adjustRightInd/>
              <w:snapToGrid/>
              <w:spacing w:beforeAutospacing="0" w:afterAutospacing="0" w:line="560" w:lineRule="exact"/>
              <w:jc w:val="center"/>
              <w:textAlignment w:val="auto"/>
            </w:pPr>
            <w:r>
              <w:rPr>
                <w:rStyle w:val="7"/>
              </w:rPr>
              <w:t>第二十条第（八）项</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信息内容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本年收费金额（单位：万元）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24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行政事业性收费</w:t>
            </w:r>
          </w:p>
        </w:tc>
        <w:tc>
          <w:tcPr>
            <w:tcW w:w="7305"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96"/>
        <w:gridCol w:w="1003"/>
        <w:gridCol w:w="2725"/>
        <w:gridCol w:w="686"/>
        <w:gridCol w:w="655"/>
        <w:gridCol w:w="655"/>
        <w:gridCol w:w="655"/>
        <w:gridCol w:w="656"/>
        <w:gridCol w:w="690"/>
        <w:gridCol w:w="70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（本列数据的勾稽关系为：第一项加第二项之和，等于第三项加第四项之和）</w:t>
            </w:r>
          </w:p>
        </w:tc>
        <w:tc>
          <w:tcPr>
            <w:tcW w:w="4307" w:type="dxa"/>
            <w:gridSpan w:val="7"/>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申请人情况</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629"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自然人</w:t>
            </w:r>
          </w:p>
        </w:tc>
        <w:tc>
          <w:tcPr>
            <w:tcW w:w="3036"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法人或其他组织</w:t>
            </w:r>
          </w:p>
        </w:tc>
        <w:tc>
          <w:tcPr>
            <w:tcW w:w="642"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629"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商业</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企业</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科研</w:t>
            </w:r>
          </w:p>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机构</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社会公益组织</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法律服务机构</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其他</w:t>
            </w:r>
          </w:p>
        </w:tc>
        <w:tc>
          <w:tcPr>
            <w:tcW w:w="642"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一、本年新收政府信息公开申请数量</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二、上年结转政府信息公开申请数量</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三、本年度办理结果</w:t>
            </w: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（一）予以公开</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（二）部分公开（区分处理的，只计这一情形，不计其他情形）</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（三）不予公开</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1.属于国家秘密</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2.其他法律行政法规禁止公开</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3.危及“三安全一稳定”</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4.保护第三方合法权益</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5.属于三类内部事务信息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6.属于四类过程性信息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7.属于行政执法案卷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8.属于行政查询事项</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（四）无法提供</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1.本机关不掌握相关政府信息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2.没有现成信息需要另行制作</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3.补正后申请内容仍不明确</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（五）不予处理</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1.信访举报投诉类申请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2.重复申请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3.要求提供公开出版物</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4.无正当理由大量反复申请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5.要求行政机关确认或重新出具已获取信息</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（六）其他处理</w:t>
            </w: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1.申请人无正当理由逾期不补正、行政机关不再处理其政府信息公开申请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2.申请人逾期未按收费通知要求缴纳费用、行政机关不再处理其政府信息公开申请</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92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249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3.其他</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7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rPr>
            </w:pPr>
          </w:p>
        </w:tc>
        <w:tc>
          <w:tcPr>
            <w:tcW w:w="3419" w:type="dxa"/>
            <w:gridSpan w:val="2"/>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（七）总计</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4149" w:type="dxa"/>
            <w:gridSpan w:val="3"/>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rPr>
            </w:pPr>
            <w:r>
              <w:rPr>
                <w:rFonts w:hint="eastAsia" w:ascii="仿宋_GB2312" w:hAnsi="仿宋_GB2312" w:eastAsia="仿宋_GB2312" w:cs="仿宋_GB2312"/>
              </w:rPr>
              <w:t>四、结转下年度继续办理</w:t>
            </w:r>
          </w:p>
        </w:tc>
        <w:tc>
          <w:tcPr>
            <w:tcW w:w="629"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01"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3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c>
          <w:tcPr>
            <w:tcW w:w="642"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top"/>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0</w:t>
            </w:r>
          </w:p>
        </w:tc>
      </w:tr>
    </w:tbl>
    <w:p>
      <w:pPr>
        <w:keepNext w:val="0"/>
        <w:keepLines w:val="0"/>
        <w:pageBreakBefore w:val="0"/>
        <w:kinsoku/>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5"/>
        <w:tblW w:w="5000" w:type="pct"/>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04"/>
        <w:gridCol w:w="604"/>
        <w:gridCol w:w="604"/>
        <w:gridCol w:w="604"/>
        <w:gridCol w:w="658"/>
        <w:gridCol w:w="604"/>
        <w:gridCol w:w="604"/>
        <w:gridCol w:w="604"/>
        <w:gridCol w:w="604"/>
        <w:gridCol w:w="658"/>
        <w:gridCol w:w="604"/>
        <w:gridCol w:w="604"/>
        <w:gridCol w:w="604"/>
        <w:gridCol w:w="604"/>
        <w:gridCol w:w="65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行政复议</w:t>
            </w:r>
          </w:p>
        </w:tc>
        <w:tc>
          <w:tcPr>
            <w:tcW w:w="6420" w:type="dxa"/>
            <w:gridSpan w:val="10"/>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行政诉讼</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结果维持</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w:t>
            </w:r>
            <w:r>
              <w:br w:type="textWrapping"/>
            </w:r>
            <w:r>
              <w:t>纠正</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其他</w:t>
            </w:r>
            <w:r>
              <w:br w:type="textWrapping"/>
            </w:r>
            <w:r>
              <w:t>结果</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尚未</w:t>
            </w:r>
            <w:r>
              <w:br w:type="textWrapping"/>
            </w:r>
            <w:r>
              <w:t>审结</w:t>
            </w:r>
          </w:p>
        </w:tc>
        <w:tc>
          <w:tcPr>
            <w:tcW w:w="630" w:type="dxa"/>
            <w:vMerge w:val="restart"/>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总计</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未经复议直接起诉</w:t>
            </w:r>
          </w:p>
        </w:tc>
        <w:tc>
          <w:tcPr>
            <w:tcW w:w="3210" w:type="dxa"/>
            <w:gridSpan w:val="5"/>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复议后起诉</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630" w:type="dxa"/>
            <w:vMerge w:val="continue"/>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sz w:val="24"/>
                <w:szCs w:val="24"/>
              </w:rPr>
            </w:pP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w:t>
            </w:r>
            <w:r>
              <w:br w:type="textWrapping"/>
            </w:r>
            <w:r>
              <w:t>维持</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w:t>
            </w:r>
            <w:r>
              <w:br w:type="textWrapping"/>
            </w:r>
            <w:r>
              <w:t>纠正</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其他</w:t>
            </w:r>
            <w:r>
              <w:br w:type="textWrapping"/>
            </w:r>
            <w:r>
              <w:t>结果</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尚未</w:t>
            </w:r>
            <w:r>
              <w:br w:type="textWrapping"/>
            </w:r>
            <w:r>
              <w:t>审结</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总计</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w:t>
            </w:r>
            <w:r>
              <w:br w:type="textWrapping"/>
            </w:r>
            <w:r>
              <w:t>维持</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结果</w:t>
            </w:r>
            <w:r>
              <w:br w:type="textWrapping"/>
            </w:r>
            <w:r>
              <w:t>纠正</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其他</w:t>
            </w:r>
            <w:r>
              <w:br w:type="textWrapping"/>
            </w:r>
            <w:r>
              <w:t>结果</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尚未</w:t>
            </w:r>
            <w:r>
              <w:br w:type="textWrapping"/>
            </w:r>
            <w:r>
              <w:t>审结</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pStyle w:val="4"/>
              <w:keepNext w:val="0"/>
              <w:keepLines w:val="0"/>
              <w:pageBreakBefore w:val="0"/>
              <w:widowControl/>
              <w:suppressLineNumbers w:val="0"/>
              <w:kinsoku/>
              <w:overflowPunct/>
              <w:topLinePunct w:val="0"/>
              <w:autoSpaceDE/>
              <w:autoSpaceDN/>
              <w:bidi w:val="0"/>
              <w:adjustRightInd/>
              <w:snapToGrid/>
              <w:spacing w:beforeAutospacing="0" w:afterAutospacing="0" w:line="560" w:lineRule="exact"/>
              <w:jc w:val="center"/>
              <w:textAlignment w:val="auto"/>
            </w:pPr>
            <w:r>
              <w:t>总计</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jc w:val="center"/>
        </w:trPr>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c>
          <w:tcPr>
            <w:tcW w:w="630" w:type="dxa"/>
            <w:tcBorders>
              <w:top w:val="outset" w:color="auto" w:sz="6" w:space="0"/>
              <w:left w:val="outset" w:color="auto" w:sz="6" w:space="0"/>
              <w:bottom w:val="outset" w:color="auto" w:sz="6" w:space="0"/>
              <w:right w:val="outset" w:color="auto" w:sz="6" w:space="0"/>
            </w:tcBorders>
            <w:shd w:val="clear" w:color="auto" w:fill="auto"/>
            <w:tcMar>
              <w:top w:w="75" w:type="dxa"/>
              <w:left w:w="75" w:type="dxa"/>
              <w:bottom w:w="75" w:type="dxa"/>
              <w:right w:w="75" w:type="dxa"/>
            </w:tcMar>
            <w:vAlign w:val="center"/>
          </w:tcPr>
          <w:p>
            <w:pPr>
              <w:keepNext w:val="0"/>
              <w:keepLines w:val="0"/>
              <w:pageBreakBefore w:val="0"/>
              <w:kinsoku/>
              <w:overflowPunct/>
              <w:topLinePunct w:val="0"/>
              <w:autoSpaceDE/>
              <w:autoSpaceDN/>
              <w:bidi w:val="0"/>
              <w:adjustRightInd/>
              <w:snapToGrid/>
              <w:spacing w:beforeAutospacing="0" w:afterAutospacing="0" w:line="560" w:lineRule="exact"/>
              <w:jc w:val="center"/>
              <w:textAlignment w:val="auto"/>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虽然我办信息公开工作取得了一定的成绩，但也还存在诸多不足和问题。如应用新媒体公开政府信息工作水平不高、信息公开质量、信息公开时间节点把握不准等工作方面存在不足。针对上述问题，我办将继续按照市政府的要求，一方面，继续拓宽政府信息公开服务的形式和渠道，扩大信息公开内容和范围，拓展多方位的信息公开形式，实现政府信息公开与网上办事和电子政务工作的结合，充分发挥信息公开全方位服务社会公众的作用；另一方面，进一步规范信息公开内容，确保敏感信息和涉密信息不上网，不断提高我办信息公开工作水平。</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2020年度，本机关无收取信息处理费情况。</w:t>
      </w:r>
    </w:p>
    <w:p>
      <w:pPr>
        <w:keepNext w:val="0"/>
        <w:keepLines w:val="0"/>
        <w:pageBreakBefore w:val="0"/>
        <w:numPr>
          <w:ilvl w:val="0"/>
          <w:numId w:val="0"/>
        </w:numPr>
        <w:kinsoku/>
        <w:overflowPunct/>
        <w:topLinePunct w:val="0"/>
        <w:autoSpaceDE/>
        <w:autoSpaceDN/>
        <w:bidi w:val="0"/>
        <w:adjustRightInd/>
        <w:snapToGrid/>
        <w:spacing w:beforeAutospacing="0" w:afterAutospacing="0" w:line="560" w:lineRule="exact"/>
        <w:ind w:firstLine="5440" w:firstLineChars="1700"/>
        <w:textAlignment w:val="auto"/>
        <w:rPr>
          <w:rFonts w:hint="default" w:ascii="仿宋_GB2312" w:hAnsi="仿宋_GB2312" w:eastAsia="仿宋_GB2312" w:cs="仿宋_GB2312"/>
          <w:sz w:val="32"/>
          <w:szCs w:val="32"/>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99B4DF"/>
    <w:multiLevelType w:val="singleLevel"/>
    <w:tmpl w:val="8599B4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NjE1YjJjYWIwYWIzZTNlZGJhMzEwNzA3MmIzYzEifQ=="/>
  </w:docVars>
  <w:rsids>
    <w:rsidRoot w:val="597B3CC9"/>
    <w:rsid w:val="0C1A3F4D"/>
    <w:rsid w:val="101D5BF1"/>
    <w:rsid w:val="1DDB48E0"/>
    <w:rsid w:val="2064359E"/>
    <w:rsid w:val="221E3587"/>
    <w:rsid w:val="2D0E3C76"/>
    <w:rsid w:val="39570A5F"/>
    <w:rsid w:val="443865A6"/>
    <w:rsid w:val="49C425C9"/>
    <w:rsid w:val="597B3CC9"/>
    <w:rsid w:val="60AD17EC"/>
    <w:rsid w:val="650A75D2"/>
    <w:rsid w:val="66C034D7"/>
    <w:rsid w:val="705C3F46"/>
    <w:rsid w:val="70B12FF8"/>
    <w:rsid w:val="78B402A3"/>
    <w:rsid w:val="7F265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1925</Words>
  <Characters>2016</Characters>
  <Lines>0</Lines>
  <Paragraphs>0</Paragraphs>
  <TotalTime>12</TotalTime>
  <ScaleCrop>false</ScaleCrop>
  <LinksUpToDate>false</LinksUpToDate>
  <CharactersWithSpaces>2016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2022-01-24T00:34:00Z</dcterms:created>
  <dc:creator>2不2</dc:creator>
  <cp:lastModifiedBy>兔儿菇凉</cp:lastModifiedBy>
  <dcterms:modified xsi:type="dcterms:W3CDTF">2023-01-13T08:02:30Z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66124D8865EC478AAAED216A74032F3C</vt:lpwstr>
  </property>
</Properties>
</file>