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Calibri" w:eastAsia="方正小标宋简体" w:cs="Times New Roman"/>
          <w:color w:val="000000"/>
          <w:sz w:val="44"/>
          <w:szCs w:val="44"/>
          <w:lang w:val="en-US" w:eastAsia="zh-CN"/>
        </w:rPr>
      </w:pPr>
      <w:r>
        <w:rPr>
          <w:rFonts w:hint="eastAsia" w:ascii="方正小标宋简体" w:hAnsi="Calibri" w:eastAsia="方正小标宋简体" w:cs="Times New Roman"/>
          <w:color w:val="000000"/>
          <w:sz w:val="44"/>
          <w:szCs w:val="44"/>
          <w:lang w:val="en-US" w:eastAsia="zh-CN"/>
        </w:rPr>
        <w:t>樟树市乡村振兴局2021年政府信息公开工作年度报告</w:t>
      </w:r>
    </w:p>
    <w:p>
      <w:pPr>
        <w:spacing w:line="640" w:lineRule="exact"/>
        <w:jc w:val="center"/>
        <w:rPr>
          <w:rFonts w:hint="eastAsia" w:ascii="方正小标宋简体" w:hAnsi="Calibri" w:eastAsia="方正小标宋简体" w:cs="Times New Roman"/>
          <w:color w:val="000000"/>
          <w:sz w:val="44"/>
          <w:szCs w:val="44"/>
          <w:lang w:val="en-US" w:eastAsia="zh-CN"/>
        </w:rPr>
      </w:pPr>
    </w:p>
    <w:p>
      <w:pPr>
        <w:spacing w:line="640" w:lineRule="exact"/>
        <w:ind w:firstLine="640" w:firstLineChars="200"/>
        <w:jc w:val="both"/>
        <w:rPr>
          <w:rFonts w:hint="eastAsia" w:ascii="仿宋_GB2312" w:hAnsi="Calibri" w:eastAsia="仿宋_GB2312" w:cs="Times New Roman"/>
          <w:sz w:val="32"/>
          <w:szCs w:val="32"/>
        </w:rPr>
      </w:pPr>
      <w:r>
        <w:rPr>
          <w:rFonts w:hint="eastAsia" w:ascii="仿宋_GB2312" w:hAnsi="Calibri" w:eastAsia="仿宋_GB2312" w:cs="Times New Roman"/>
          <w:sz w:val="32"/>
          <w:szCs w:val="32"/>
        </w:rPr>
        <w:t>本报告依据《中华人民共和国政府信息公开条例》（国务院令第711号，以下简称新《条例》）和《国务院办公厅政府信息与</w:t>
      </w:r>
      <w:bookmarkStart w:id="0" w:name="_GoBack"/>
      <w:r>
        <w:rPr>
          <w:rFonts w:hint="eastAsia" w:ascii="仿宋_GB2312" w:hAnsi="Calibri" w:eastAsia="仿宋_GB2312" w:cs="Times New Roman"/>
          <w:sz w:val="32"/>
          <w:szCs w:val="32"/>
        </w:rPr>
        <w:t>政务</w:t>
      </w:r>
      <w:bookmarkEnd w:id="0"/>
      <w:r>
        <w:rPr>
          <w:rFonts w:hint="eastAsia" w:ascii="仿宋_GB2312" w:hAnsi="Calibri" w:eastAsia="仿宋_GB2312" w:cs="Times New Roman"/>
          <w:sz w:val="32"/>
          <w:szCs w:val="32"/>
        </w:rPr>
        <w:t>公开办公室关于政府信息公开工作年度报告有关事项的通知》（国办公开办函〔20</w:t>
      </w:r>
      <w:r>
        <w:rPr>
          <w:rFonts w:hint="eastAsia" w:ascii="仿宋_GB2312" w:hAnsi="Calibri" w:eastAsia="仿宋_GB2312" w:cs="Times New Roman"/>
          <w:sz w:val="32"/>
          <w:szCs w:val="32"/>
          <w:lang w:val="en-US" w:eastAsia="zh-CN"/>
        </w:rPr>
        <w:t>21</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0号）要求，汇总本单位在</w:t>
      </w:r>
      <w:r>
        <w:rPr>
          <w:rFonts w:hint="eastAsia" w:ascii="仿宋_GB2312" w:hAnsi="Calibri" w:eastAsia="仿宋_GB2312" w:cs="Times New Roman"/>
          <w:sz w:val="32"/>
          <w:szCs w:val="32"/>
          <w:lang w:eastAsia="zh-CN"/>
        </w:rPr>
        <w:t>樟树</w:t>
      </w:r>
      <w:r>
        <w:rPr>
          <w:rFonts w:hint="eastAsia" w:ascii="仿宋_GB2312" w:hAnsi="Calibri" w:eastAsia="仿宋_GB2312" w:cs="Times New Roman"/>
          <w:sz w:val="32"/>
          <w:szCs w:val="32"/>
        </w:rPr>
        <w:t>市政府网站、政府信息公开平台数据，由</w:t>
      </w:r>
      <w:r>
        <w:rPr>
          <w:rFonts w:hint="eastAsia" w:ascii="仿宋_GB2312" w:hAnsi="Calibri" w:eastAsia="仿宋_GB2312" w:cs="Times New Roman"/>
          <w:sz w:val="32"/>
          <w:szCs w:val="32"/>
          <w:lang w:eastAsia="zh-CN"/>
        </w:rPr>
        <w:t>樟树</w:t>
      </w:r>
      <w:r>
        <w:rPr>
          <w:rFonts w:hint="eastAsia" w:ascii="仿宋_GB2312" w:hAnsi="Calibri" w:eastAsia="仿宋_GB2312" w:cs="Times New Roman"/>
          <w:sz w:val="32"/>
          <w:szCs w:val="32"/>
        </w:rPr>
        <w:t>市乡村振兴局综合股编制，本年度报告中所列数据统计期限自2021年1月1日至2021年12月31日止，并</w:t>
      </w:r>
      <w:r>
        <w:rPr>
          <w:rFonts w:hint="eastAsia" w:ascii="仿宋_GB2312" w:hAnsi="Calibri" w:eastAsia="仿宋_GB2312" w:cs="Times New Roman"/>
          <w:sz w:val="32"/>
          <w:szCs w:val="32"/>
          <w:lang w:eastAsia="zh-CN"/>
        </w:rPr>
        <w:t>发布樟树</w:t>
      </w:r>
      <w:r>
        <w:rPr>
          <w:rFonts w:hint="eastAsia" w:ascii="仿宋_GB2312" w:hAnsi="Calibri" w:eastAsia="仿宋_GB2312" w:cs="Times New Roman"/>
          <w:sz w:val="32"/>
          <w:szCs w:val="32"/>
        </w:rPr>
        <w:t>市人民政府门户网站中“政府信息公开年报”栏目。全文包括总体情况、主动公开政府信息情况、收到和处理政府信息公开申请情况、政府信息公开行政复议行政诉讼情况、存在的主要问题及改进情况、其他需要报告的事项。本年度报告的电子版可以从樟树市人民政府网站（www.zhangshu.gov.cn）下载。如对本报告有任何疑问，请联系（地址：樟树市楼门前6号，电话：0795-</w:t>
      </w: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rPr>
        <w:t>621899，邮编：331200）。</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spacing w:line="640" w:lineRule="exact"/>
        <w:ind w:firstLine="640" w:firstLineChars="200"/>
        <w:jc w:val="both"/>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2021年，在市委、市政府的正确领导部署下，我局认真贯彻落实《中华人民共和国政府信息公开条例》要求，从乡村振兴工作实际出发，紧紧围绕巩固拓展脱贫攻坚成果同乡村振兴有效衔接相关政策、工作动态，深入推进政府信息公开工作，不断提升政府信息公开质量，拓宽政府信息公开渠道，增强政府信息公开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截至2021年12月31日，我局政务信息主动公开共32条。公开信息主要包括政务公开工作要点涉及的相关内容，即公开指南、工作动态、机构职能、政策法规，政策解读，财经信息，规划计划等有关数据。此外，积极更新“三大攻坚战”等乡村振兴业务；积极转发乡村振兴相关文件、党建动态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208" w:leftChars="0" w:firstLine="632" w:firstLineChars="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我局20</w:t>
      </w:r>
      <w:r>
        <w:rPr>
          <w:rFonts w:hint="eastAsia" w:ascii="仿宋_GB2312" w:hAnsi="仿宋_GB2312" w:eastAsia="仿宋_GB2312" w:cs="仿宋_GB2312"/>
          <w:sz w:val="32"/>
          <w:szCs w:val="32"/>
          <w:highlight w:val="none"/>
          <w:lang w:val="en-US" w:eastAsia="zh-CN"/>
        </w:rPr>
        <w:t>21</w:t>
      </w:r>
      <w:r>
        <w:rPr>
          <w:rFonts w:hint="default" w:ascii="仿宋_GB2312" w:hAnsi="仿宋_GB2312" w:eastAsia="仿宋_GB2312" w:cs="仿宋_GB2312"/>
          <w:sz w:val="32"/>
          <w:szCs w:val="32"/>
          <w:highlight w:val="none"/>
          <w:lang w:val="en-US" w:eastAsia="zh-CN"/>
        </w:rPr>
        <w:t>年</w:t>
      </w:r>
      <w:r>
        <w:rPr>
          <w:rFonts w:hint="eastAsia" w:ascii="仿宋_GB2312" w:hAnsi="仿宋_GB2312" w:eastAsia="仿宋_GB2312" w:cs="仿宋_GB2312"/>
          <w:sz w:val="32"/>
          <w:szCs w:val="32"/>
          <w:highlight w:val="none"/>
          <w:lang w:val="en-US" w:eastAsia="zh-CN"/>
        </w:rPr>
        <w:t>未受理到依申请公开文件</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未收到公众申请要求公开的其他方面信息</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208" w:leftChars="0" w:firstLine="632" w:firstLineChars="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_GB2312" w:cs="仿宋"/>
          <w:b w:val="0"/>
          <w:bCs w:val="0"/>
          <w:sz w:val="32"/>
          <w:szCs w:val="32"/>
          <w:highlight w:val="none"/>
          <w:lang w:val="en-US" w:eastAsia="zh-CN"/>
        </w:rPr>
      </w:pPr>
      <w:r>
        <w:rPr>
          <w:rFonts w:hint="default" w:ascii="仿宋" w:hAnsi="仿宋" w:eastAsia="仿宋_GB2312" w:cs="仿宋"/>
          <w:b w:val="0"/>
          <w:bCs w:val="0"/>
          <w:sz w:val="32"/>
          <w:szCs w:val="32"/>
          <w:highlight w:val="none"/>
          <w:lang w:val="en-US" w:eastAsia="zh-CN"/>
        </w:rPr>
        <w:t>我局持续推进完善</w:t>
      </w:r>
      <w:r>
        <w:rPr>
          <w:rFonts w:hint="eastAsia" w:ascii="仿宋" w:hAnsi="仿宋" w:eastAsia="仿宋_GB2312" w:cs="仿宋"/>
          <w:b w:val="0"/>
          <w:bCs w:val="0"/>
          <w:sz w:val="32"/>
          <w:szCs w:val="32"/>
          <w:highlight w:val="none"/>
          <w:lang w:val="en-US" w:eastAsia="zh-CN"/>
        </w:rPr>
        <w:t>乡村振兴</w:t>
      </w:r>
      <w:r>
        <w:rPr>
          <w:rFonts w:hint="default" w:ascii="仿宋" w:hAnsi="仿宋" w:eastAsia="仿宋_GB2312" w:cs="仿宋"/>
          <w:b w:val="0"/>
          <w:bCs w:val="0"/>
          <w:sz w:val="32"/>
          <w:szCs w:val="32"/>
          <w:highlight w:val="none"/>
          <w:lang w:val="en-US" w:eastAsia="zh-CN"/>
        </w:rPr>
        <w:t>信息公开制度机制，将政务公开工作纳入重点工作，按各股室职责职公开</w:t>
      </w:r>
      <w:r>
        <w:rPr>
          <w:rFonts w:hint="eastAsia" w:ascii="仿宋" w:hAnsi="仿宋" w:eastAsia="仿宋_GB2312" w:cs="仿宋"/>
          <w:b w:val="0"/>
          <w:bCs w:val="0"/>
          <w:sz w:val="32"/>
          <w:szCs w:val="32"/>
          <w:highlight w:val="none"/>
          <w:lang w:val="en-US" w:eastAsia="zh-CN"/>
        </w:rPr>
        <w:t>相关</w:t>
      </w:r>
      <w:r>
        <w:rPr>
          <w:rFonts w:hint="default" w:ascii="仿宋" w:hAnsi="仿宋" w:eastAsia="仿宋_GB2312" w:cs="仿宋"/>
          <w:b w:val="0"/>
          <w:bCs w:val="0"/>
          <w:sz w:val="32"/>
          <w:szCs w:val="32"/>
          <w:highlight w:val="none"/>
          <w:lang w:val="en-US" w:eastAsia="zh-CN"/>
        </w:rPr>
        <w:t>内容</w:t>
      </w:r>
      <w:r>
        <w:rPr>
          <w:rFonts w:hint="eastAsia" w:ascii="仿宋" w:hAnsi="仿宋" w:eastAsia="仿宋_GB2312" w:cs="仿宋"/>
          <w:b w:val="0"/>
          <w:bCs w:val="0"/>
          <w:sz w:val="32"/>
          <w:szCs w:val="32"/>
          <w:highlight w:val="none"/>
          <w:lang w:val="en-US" w:eastAsia="zh-CN"/>
        </w:rPr>
        <w:t>，</w:t>
      </w:r>
      <w:r>
        <w:rPr>
          <w:rFonts w:hint="default" w:ascii="仿宋" w:hAnsi="仿宋" w:eastAsia="仿宋_GB2312" w:cs="仿宋"/>
          <w:b w:val="0"/>
          <w:bCs w:val="0"/>
          <w:sz w:val="32"/>
          <w:szCs w:val="32"/>
          <w:highlight w:val="none"/>
          <w:lang w:val="en-US" w:eastAsia="zh-CN"/>
        </w:rPr>
        <w:t>做到专人负责</w:t>
      </w:r>
      <w:r>
        <w:rPr>
          <w:rFonts w:hint="eastAsia" w:ascii="仿宋" w:hAnsi="仿宋" w:eastAsia="仿宋_GB2312" w:cs="仿宋"/>
          <w:b w:val="0"/>
          <w:bCs w:val="0"/>
          <w:sz w:val="32"/>
          <w:szCs w:val="32"/>
          <w:highlight w:val="none"/>
          <w:lang w:val="en-US" w:eastAsia="zh-CN"/>
        </w:rPr>
        <w:t>。</w:t>
      </w:r>
      <w:r>
        <w:rPr>
          <w:rFonts w:hint="default" w:ascii="仿宋" w:hAnsi="仿宋" w:eastAsia="仿宋_GB2312" w:cs="仿宋"/>
          <w:b w:val="0"/>
          <w:bCs w:val="0"/>
          <w:sz w:val="32"/>
          <w:szCs w:val="32"/>
          <w:highlight w:val="none"/>
          <w:lang w:val="en-US" w:eastAsia="zh-CN"/>
        </w:rPr>
        <w:t>建立健全信息公开合法性、保密性、关键字正确表述等内容审查机制，确保信息公开质量，不断提升信息公开标准化规范化水平。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b/>
          <w:bCs/>
          <w:lang w:val="en-US" w:eastAsia="zh-CN"/>
        </w:rPr>
      </w:pPr>
      <w:r>
        <w:rPr>
          <w:rFonts w:hint="eastAsia" w:ascii="仿宋" w:hAnsi="仿宋" w:eastAsia="仿宋_GB2312" w:cs="仿宋"/>
          <w:b w:val="0"/>
          <w:bCs w:val="0"/>
          <w:sz w:val="32"/>
          <w:szCs w:val="32"/>
          <w:highlight w:val="none"/>
          <w:lang w:val="en-US" w:eastAsia="zh-CN"/>
        </w:rPr>
        <w:t>积极发挥政府门户网站第一平台作用，做到有动态及时公开、有政策文件及时公开的同时做好相关的政策解读。</w:t>
      </w:r>
      <w:r>
        <w:rPr>
          <w:rFonts w:hint="default" w:ascii="仿宋" w:hAnsi="仿宋" w:eastAsia="仿宋_GB2312" w:cs="仿宋"/>
          <w:b w:val="0"/>
          <w:bCs w:val="0"/>
          <w:sz w:val="32"/>
          <w:szCs w:val="32"/>
          <w:highlight w:val="none"/>
          <w:lang w:val="en-US" w:eastAsia="zh-CN"/>
        </w:rPr>
        <w:t>加强对《条例》以及本局制定的各项规章制度的学习培训，使从事政府信息公开工作的干部职工进一步了解掌握政府信息公开工作</w:t>
      </w:r>
      <w:r>
        <w:rPr>
          <w:rFonts w:hint="eastAsia" w:ascii="仿宋" w:hAnsi="仿宋" w:eastAsia="仿宋_GB2312" w:cs="仿宋"/>
          <w:b w:val="0"/>
          <w:bCs w:val="0"/>
          <w:sz w:val="32"/>
          <w:szCs w:val="32"/>
          <w:highlight w:val="none"/>
          <w:lang w:val="en-US" w:eastAsia="zh-CN"/>
        </w:rPr>
        <w:t>原则、公开范围、公开程序等方面的知识，努力提升干部的责任意识，提高全局政务信息公开工作业务水平。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(五)监督保障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rPr>
        <w:t>加强政务信息公开规范性，建立健全工作制度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设置政务信息公开负责人员，</w:t>
      </w:r>
      <w:r>
        <w:rPr>
          <w:rFonts w:hint="eastAsia" w:ascii="仿宋_GB2312" w:hAnsi="仿宋_GB2312" w:eastAsia="仿宋_GB2312" w:cs="仿宋_GB2312"/>
          <w:b w:val="0"/>
          <w:bCs w:val="0"/>
          <w:sz w:val="32"/>
          <w:szCs w:val="32"/>
          <w:highlight w:val="none"/>
          <w:lang w:val="en-US" w:eastAsia="zh-CN"/>
        </w:rPr>
        <w:t>指派专人负责政务公开信息工作，</w:t>
      </w:r>
      <w:r>
        <w:rPr>
          <w:rFonts w:hint="eastAsia" w:ascii="仿宋_GB2312" w:hAnsi="仿宋_GB2312" w:eastAsia="仿宋_GB2312" w:cs="仿宋_GB2312"/>
          <w:sz w:val="32"/>
          <w:szCs w:val="32"/>
        </w:rPr>
        <w:t>落实政务信息公开相关要求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highlight w:val="none"/>
          <w:lang w:val="en-US" w:eastAsia="zh-CN"/>
        </w:rPr>
        <w:t>提高政务公开工作效率。</w:t>
      </w:r>
    </w:p>
    <w:p>
      <w:pPr>
        <w:bidi w:val="0"/>
        <w:ind w:firstLine="640" w:firstLineChars="200"/>
        <w:rPr>
          <w:rFonts w:hint="eastAsia" w:ascii="仿宋_GB2312" w:hAnsi="Calibri" w:eastAsia="仿宋_GB2312" w:cs="Times New Roman"/>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5000"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11"/>
        <w:gridCol w:w="2111"/>
        <w:gridCol w:w="2111"/>
        <w:gridCol w:w="212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wordWrap w:val="0"/>
              <w:jc w:val="center"/>
            </w:pPr>
            <w:r>
              <w:rPr>
                <w:rStyle w:val="7"/>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本年新制作数量</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本年新公开数量</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对外公开总数量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行政规范性文件</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wordWrap w:val="0"/>
              <w:jc w:val="center"/>
            </w:pPr>
            <w:r>
              <w:rPr>
                <w:rStyle w:val="7"/>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信息内容</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行政许可</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wordWrap w:val="0"/>
              <w:jc w:val="center"/>
            </w:pPr>
            <w:r>
              <w:rPr>
                <w:rStyle w:val="7"/>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wordWrap w:val="0"/>
              <w:jc w:val="center"/>
            </w:pPr>
            <w:r>
              <w:rPr>
                <w:rStyle w:val="7"/>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W w:w="5000"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0"/>
        <w:gridCol w:w="920"/>
        <w:gridCol w:w="2499"/>
        <w:gridCol w:w="629"/>
        <w:gridCol w:w="601"/>
        <w:gridCol w:w="601"/>
        <w:gridCol w:w="601"/>
        <w:gridCol w:w="601"/>
        <w:gridCol w:w="632"/>
        <w:gridCol w:w="64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49" w:type="dxa"/>
            <w:gridSpan w:val="3"/>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（本列数据的勾稽关系为：第一项加第二项之和，等于第三项加第四项之和）</w:t>
            </w:r>
          </w:p>
        </w:tc>
        <w:tc>
          <w:tcPr>
            <w:tcW w:w="4307" w:type="dxa"/>
            <w:gridSpan w:val="7"/>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49" w:type="dxa"/>
            <w:gridSpan w:val="3"/>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629"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自然人</w:t>
            </w:r>
          </w:p>
        </w:tc>
        <w:tc>
          <w:tcPr>
            <w:tcW w:w="3036"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法人或其他组织</w:t>
            </w:r>
          </w:p>
        </w:tc>
        <w:tc>
          <w:tcPr>
            <w:tcW w:w="642"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49" w:type="dxa"/>
            <w:gridSpan w:val="3"/>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629"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商业</w:t>
            </w:r>
          </w:p>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企业</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科研</w:t>
            </w:r>
          </w:p>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机构</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社会公益组织</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法律服务机构</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其他</w:t>
            </w:r>
          </w:p>
        </w:tc>
        <w:tc>
          <w:tcPr>
            <w:tcW w:w="642"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49"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一、本年新收政府信息公开申请数量</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49"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二、上年结转政府信息公开申请数量</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三、本年度办理结果</w:t>
            </w:r>
          </w:p>
        </w:tc>
        <w:tc>
          <w:tcPr>
            <w:tcW w:w="3419"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（一）予以公开</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3419"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（二）部分公开（区分处理的，只计这一情形，不计其他情形）</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（三）不予公开</w:t>
            </w: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1.属于国家秘密</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2.其他法律行政法规禁止公开</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3.危及“三安全一稳定”</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4.保护第三方合法权益</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5.属于三类内部事务信息</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6.属于四类过程性信息</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7.属于行政执法案卷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8.属于行政查询事项</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（四）无法提供</w:t>
            </w: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1.本机关不掌握相关政府信息</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2.没有现成信息需要另行制作</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3.补正后申请内容仍不明确</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（五）不予处理</w:t>
            </w: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1.信访举报投诉类申请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2.重复申请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3.要求提供公开出版物</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4.无正当理由大量反复申请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spacing w:line="48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5.要求行政机关确认或重新出具已获取信息</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（六）其他处理</w:t>
            </w: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1.申请人无正当理由逾期不补正、行政机关不再处理其政府信息公开申请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2.申请人逾期未按收费通知要求缴纳费用、行政机关不再处理其政府信息公开申请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3.其他</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rPr>
            </w:pPr>
          </w:p>
        </w:tc>
        <w:tc>
          <w:tcPr>
            <w:tcW w:w="3419"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（七）总计</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149"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rPr>
              <w:t>四、结转下年度继续办理</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spacing w:line="50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5000"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5"/>
        <w:gridCol w:w="555"/>
        <w:gridCol w:w="555"/>
        <w:gridCol w:w="555"/>
        <w:gridCol w:w="597"/>
        <w:gridCol w:w="555"/>
        <w:gridCol w:w="555"/>
        <w:gridCol w:w="555"/>
        <w:gridCol w:w="555"/>
        <w:gridCol w:w="597"/>
        <w:gridCol w:w="556"/>
        <w:gridCol w:w="556"/>
        <w:gridCol w:w="556"/>
        <w:gridCol w:w="556"/>
        <w:gridCol w:w="59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行政复议</w:t>
            </w:r>
          </w:p>
        </w:tc>
        <w:tc>
          <w:tcPr>
            <w:tcW w:w="6420" w:type="dxa"/>
            <w:gridSpan w:val="10"/>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结果维持</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结果</w:t>
            </w:r>
            <w:r>
              <w:br w:type="textWrapping"/>
            </w:r>
            <w:r>
              <w:t>纠正</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其他</w:t>
            </w:r>
            <w:r>
              <w:br w:type="textWrapping"/>
            </w:r>
            <w:r>
              <w:t>结果</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尚未</w:t>
            </w:r>
            <w:r>
              <w:br w:type="textWrapping"/>
            </w:r>
            <w:r>
              <w:t>审结</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总计</w:t>
            </w:r>
          </w:p>
        </w:tc>
        <w:tc>
          <w:tcPr>
            <w:tcW w:w="32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未经复议直接起诉</w:t>
            </w:r>
          </w:p>
        </w:tc>
        <w:tc>
          <w:tcPr>
            <w:tcW w:w="32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6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sz w:val="24"/>
                <w:szCs w:val="24"/>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sz w:val="24"/>
                <w:szCs w:val="24"/>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sz w:val="24"/>
                <w:szCs w:val="24"/>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sz w:val="24"/>
                <w:szCs w:val="24"/>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sz w:val="24"/>
                <w:szCs w:val="24"/>
              </w:rPr>
            </w:pP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结果</w:t>
            </w:r>
            <w:r>
              <w:br w:type="textWrapping"/>
            </w:r>
            <w:r>
              <w:t>维持</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结果</w:t>
            </w:r>
            <w:r>
              <w:br w:type="textWrapping"/>
            </w:r>
            <w:r>
              <w:t>纠正</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其他</w:t>
            </w:r>
            <w:r>
              <w:br w:type="textWrapping"/>
            </w:r>
            <w:r>
              <w:t>结果</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尚未</w:t>
            </w:r>
            <w:r>
              <w:br w:type="textWrapping"/>
            </w:r>
            <w:r>
              <w:t>审结</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总计</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结果</w:t>
            </w:r>
            <w:r>
              <w:br w:type="textWrapping"/>
            </w:r>
            <w:r>
              <w:t>维持</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结果</w:t>
            </w:r>
            <w:r>
              <w:br w:type="textWrapping"/>
            </w:r>
            <w:r>
              <w:t>纠正</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其他</w:t>
            </w:r>
            <w:r>
              <w:br w:type="textWrapping"/>
            </w:r>
            <w:r>
              <w:t>结果</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尚未</w:t>
            </w:r>
            <w:r>
              <w:br w:type="textWrapping"/>
            </w:r>
            <w:r>
              <w:t>审结</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jc w:val="center"/>
            </w:pPr>
            <w: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spacing w:line="50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虽然我局政务公开工作有序开展，但仍然存在一些问题：</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是发布内容单一。单位以文件政策类信息发布为主，日常单位开展活动信息相对较少。</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是信息发布质量有待进一步提高</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在今后过程中，我们将正视问题，推进政务公开工作更好发展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丰富信息发布内容，扩大信息公开广度，将单位日常工作活动信息以文字形式公布在政务公开网上，让社会更了解我局工作。</w:t>
      </w:r>
    </w:p>
    <w:p>
      <w:pPr>
        <w:numPr>
          <w:ilvl w:val="0"/>
          <w:numId w:val="0"/>
        </w:numPr>
        <w:bidi w:val="0"/>
        <w:rPr>
          <w:rFonts w:hint="eastAsia" w:ascii="黑体" w:hAnsi="黑体" w:eastAsia="黑体" w:cs="黑体"/>
          <w:sz w:val="32"/>
          <w:szCs w:val="32"/>
        </w:rPr>
      </w:pPr>
      <w:r>
        <w:rPr>
          <w:rFonts w:hint="eastAsia" w:ascii="黑体" w:hAnsi="黑体" w:eastAsia="黑体" w:cs="黑体"/>
          <w:sz w:val="32"/>
          <w:szCs w:val="32"/>
          <w:lang w:val="en-US" w:eastAsia="zh-CN"/>
        </w:rPr>
        <w:t xml:space="preserve">    六、</w:t>
      </w:r>
      <w:r>
        <w:rPr>
          <w:rFonts w:hint="eastAsia" w:ascii="黑体" w:hAnsi="黑体" w:eastAsia="黑体" w:cs="黑体"/>
          <w:sz w:val="32"/>
          <w:szCs w:val="32"/>
        </w:rPr>
        <w:t>其他需要报告的事项</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2021年度，本机关无收取信息处理费情况。发出收费通知的件数和总金额，以及实际收取的总金额均为0。</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如对报告内容有任何疑问，请与樟树市乡村振兴局综合股联系（办公地址：楼门前6号，电话：0795-7621899）。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778B91-1B0A-4A7B-8B32-9C6AEAC195F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D34A2C0-3340-41EC-90D1-66DA257FA8B2}"/>
  </w:font>
  <w:font w:name="方正小标宋简体">
    <w:panose1 w:val="02000000000000000000"/>
    <w:charset w:val="86"/>
    <w:family w:val="script"/>
    <w:pitch w:val="default"/>
    <w:sig w:usb0="00000001" w:usb1="08000000" w:usb2="00000000" w:usb3="00000000" w:csb0="00040000" w:csb1="00000000"/>
    <w:embedRegular r:id="rId3" w:fontKey="{6326775D-CF28-48AF-A560-6D42DAAD9AAE}"/>
  </w:font>
  <w:font w:name="仿宋_GB2312">
    <w:panose1 w:val="02010609030101010101"/>
    <w:charset w:val="86"/>
    <w:family w:val="modern"/>
    <w:pitch w:val="default"/>
    <w:sig w:usb0="00000001" w:usb1="080E0000" w:usb2="00000000" w:usb3="00000000" w:csb0="00040000" w:csb1="00000000"/>
    <w:embedRegular r:id="rId4" w:fontKey="{05DFE509-72E5-418E-97DF-3E4B9DB71621}"/>
  </w:font>
  <w:font w:name="楷体">
    <w:panose1 w:val="02010609060101010101"/>
    <w:charset w:val="86"/>
    <w:family w:val="auto"/>
    <w:pitch w:val="default"/>
    <w:sig w:usb0="800002BF" w:usb1="38CF7CFA" w:usb2="00000016" w:usb3="00000000" w:csb0="00040001" w:csb1="00000000"/>
    <w:embedRegular r:id="rId5" w:fontKey="{9E561DBA-624F-4776-8D6E-53F7D9E2D237}"/>
  </w:font>
  <w:font w:name="仿宋">
    <w:panose1 w:val="02010609060101010101"/>
    <w:charset w:val="86"/>
    <w:family w:val="modern"/>
    <w:pitch w:val="default"/>
    <w:sig w:usb0="800002BF" w:usb1="38CF7CFA" w:usb2="00000016" w:usb3="00000000" w:csb0="00040001" w:csb1="00000000"/>
    <w:embedRegular r:id="rId6" w:fontKey="{0C33D2F2-8ACD-4CA9-83C7-703944D8AF6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57D2C2"/>
    <w:multiLevelType w:val="singleLevel"/>
    <w:tmpl w:val="1B57D2C2"/>
    <w:lvl w:ilvl="0" w:tentative="0">
      <w:start w:val="2"/>
      <w:numFmt w:val="chineseCounting"/>
      <w:suff w:val="space"/>
      <w:lvlText w:val="(%1)"/>
      <w:lvlJc w:val="left"/>
      <w:pPr>
        <w:ind w:left="20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OTQyNjMyYjQ5MmMxMDQyMDMwNGFmMTMyMDc4NTEifQ=="/>
  </w:docVars>
  <w:rsids>
    <w:rsidRoot w:val="597B3CC9"/>
    <w:rsid w:val="0560706F"/>
    <w:rsid w:val="0AA80DA3"/>
    <w:rsid w:val="0C1A3F4D"/>
    <w:rsid w:val="2064359E"/>
    <w:rsid w:val="304457BD"/>
    <w:rsid w:val="39570A5F"/>
    <w:rsid w:val="39D60254"/>
    <w:rsid w:val="443865A6"/>
    <w:rsid w:val="47BE393C"/>
    <w:rsid w:val="49C425C9"/>
    <w:rsid w:val="597B3CC9"/>
    <w:rsid w:val="5BC37254"/>
    <w:rsid w:val="650A75D2"/>
    <w:rsid w:val="705C3F46"/>
    <w:rsid w:val="70B12FF8"/>
    <w:rsid w:val="7F265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2218</Words>
  <Characters>2314</Characters>
  <Lines>0</Lines>
  <Paragraphs>0</Paragraphs>
  <TotalTime>3</TotalTime>
  <ScaleCrop>false</ScaleCrop>
  <LinksUpToDate>false</LinksUpToDate>
  <CharactersWithSpaces>2318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2022-01-24T00:34:00Z</dcterms:created>
  <dc:creator>2不2</dc:creator>
  <cp:lastModifiedBy>嘉木</cp:lastModifiedBy>
  <dcterms:modified xsi:type="dcterms:W3CDTF">2023-04-10T03:35:15Z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A89CDC11BABA43C28F8F5592F057C739_13</vt:lpwstr>
  </property>
</Properties>
</file>