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乡村振兴局</w:t>
      </w:r>
      <w:r>
        <w:rPr>
          <w:rFonts w:hint="eastAsia" w:ascii="方正小标宋简体" w:hAnsi="方正小标宋简体" w:eastAsia="方正小标宋简体" w:cs="方正小标宋简体"/>
          <w:sz w:val="44"/>
          <w:szCs w:val="44"/>
          <w:lang w:val="en-US" w:eastAsia="zh-CN"/>
        </w:rPr>
        <w:t>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_GB2312" w:cs="仿宋"/>
          <w:highlight w:val="none"/>
          <w:lang w:val="en-US" w:eastAsia="zh-CN"/>
        </w:rPr>
        <w:t>樟树市乡村振兴局</w:t>
      </w:r>
      <w:r>
        <w:rPr>
          <w:rFonts w:hint="eastAsia" w:ascii="仿宋" w:hAnsi="仿宋" w:eastAsia="仿宋_GB2312" w:cs="仿宋"/>
          <w:lang w:val="en-US" w:eastAsia="zh-CN"/>
        </w:rPr>
        <w:t>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w:t>
      </w:r>
      <w:r>
        <w:rPr>
          <w:rFonts w:hint="eastAsia" w:ascii="仿宋" w:hAnsi="仿宋" w:eastAsia="仿宋_GB2312" w:cs="仿宋"/>
          <w:highlight w:val="none"/>
          <w:lang w:val="en-US" w:eastAsia="zh-CN"/>
        </w:rPr>
        <w:t>乡村振兴局</w:t>
      </w:r>
      <w:r>
        <w:rPr>
          <w:rFonts w:hint="eastAsia" w:ascii="仿宋" w:hAnsi="仿宋" w:eastAsia="仿宋_GB2312" w:cs="仿宋"/>
          <w:lang w:val="en-US" w:eastAsia="zh-CN"/>
        </w:rPr>
        <w:t>联系（地址：</w:t>
      </w:r>
      <w:r>
        <w:rPr>
          <w:rFonts w:hint="eastAsia" w:ascii="仿宋" w:hAnsi="仿宋" w:eastAsia="仿宋_GB2312" w:cs="仿宋"/>
          <w:highlight w:val="none"/>
          <w:lang w:val="en-US" w:eastAsia="zh-CN"/>
        </w:rPr>
        <w:t>樟树市楼门前6号</w:t>
      </w:r>
      <w:r>
        <w:rPr>
          <w:rFonts w:hint="eastAsia" w:ascii="仿宋" w:hAnsi="仿宋" w:eastAsia="仿宋_GB2312" w:cs="仿宋"/>
          <w:lang w:val="en-US" w:eastAsia="zh-CN"/>
        </w:rPr>
        <w:t>，电话：</w:t>
      </w:r>
      <w:r>
        <w:rPr>
          <w:rFonts w:hint="eastAsia" w:ascii="仿宋" w:hAnsi="仿宋" w:eastAsia="仿宋_GB2312" w:cs="仿宋"/>
          <w:highlight w:val="none"/>
          <w:lang w:val="en-US" w:eastAsia="zh-CN"/>
        </w:rPr>
        <w:t>0795-7621899</w:t>
      </w:r>
      <w:r>
        <w:rPr>
          <w:rFonts w:hint="eastAsia" w:ascii="仿宋" w:hAnsi="仿宋" w:eastAsia="仿宋_GB2312" w:cs="仿宋"/>
          <w:lang w:val="en-US" w:eastAsia="zh-CN"/>
        </w:rPr>
        <w:t>，邮编：</w:t>
      </w:r>
      <w:r>
        <w:rPr>
          <w:rFonts w:hint="eastAsia" w:ascii="仿宋" w:hAnsi="仿宋" w:eastAsia="仿宋_GB2312" w:cs="仿宋"/>
          <w:highlight w:val="none"/>
          <w:lang w:val="en-US" w:eastAsia="zh-CN"/>
        </w:rPr>
        <w:t>331200</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 w:hAnsi="仿宋" w:eastAsia="仿宋_GB2312" w:cs="仿宋"/>
          <w:lang w:val="en-US" w:eastAsia="zh-CN"/>
        </w:rPr>
      </w:pPr>
      <w:r>
        <w:rPr>
          <w:rFonts w:hint="eastAsia" w:ascii="仿宋" w:hAnsi="仿宋" w:eastAsia="仿宋_GB2312" w:cs="仿宋"/>
          <w:lang w:val="en-US" w:eastAsia="zh-CN"/>
        </w:rPr>
        <w:t>2023年以习近平新时代中国特色社会主义思想为指导，全面贯彻党的二十大精神，以人民为中心深化政务公开，认真落实国家、省、宜春市关于深化政务公开工作的系列决策部署，全面提升政务公开质效，进一步细化政务公开工作任务，加大公开力度，强化政策解读回应，完善制度机制和平台建设，不断提高我局政务透明度、施政公信力，提升政务公开标准化规范化水</w:t>
      </w:r>
      <w:r>
        <w:rPr>
          <w:rFonts w:hint="eastAsia" w:ascii="仿宋_GB2312" w:hAnsi="仿宋_GB2312" w:eastAsia="仿宋_GB2312" w:cs="仿宋_GB2312"/>
          <w:i w:val="0"/>
          <w:iCs w:val="0"/>
          <w:caps w:val="0"/>
          <w:spacing w:val="8"/>
          <w:kern w:val="0"/>
          <w:sz w:val="32"/>
          <w:szCs w:val="32"/>
          <w:highlight w:val="none"/>
          <w:shd w:val="clear" w:color="auto" w:fill="FFFFFF"/>
          <w:lang w:val="en-US" w:eastAsia="zh-CN" w:bidi="ar"/>
        </w:rPr>
        <w:t>平，发挥</w:t>
      </w:r>
      <w:r>
        <w:rPr>
          <w:rFonts w:hint="eastAsia" w:ascii="仿宋" w:hAnsi="仿宋" w:eastAsia="仿宋_GB2312" w:cs="仿宋"/>
          <w:lang w:val="en-US" w:eastAsia="zh-CN"/>
        </w:rPr>
        <w:t>政务公开推进巩固拓展脱贫攻坚成果同乡村振兴有效衔接工作的作用，增强人民群众满意度、获得感。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 w:hAnsi="仿宋" w:eastAsia="仿宋_GB2312" w:cs="仿宋"/>
          <w:lang w:val="en-US" w:eastAsia="zh-CN"/>
        </w:rPr>
      </w:pPr>
      <w:r>
        <w:rPr>
          <w:rFonts w:hint="eastAsia" w:ascii="仿宋" w:hAnsi="仿宋" w:eastAsia="仿宋_GB2312" w:cs="仿宋"/>
          <w:lang w:val="en-US" w:eastAsia="zh-CN"/>
        </w:rPr>
        <w:t>截至2023年12月31日，我局政务信息主动公开共政务信息170条，公开信息主要包括政务公开工作要点涉及的相关内容，即公开指南、工作动态、机构职能、政策法规，政策解读，财经信息，规划计划等有关数据。此外，积极更新“三大攻坚战”等乡村振兴业务，积极转发乡村振兴相关文件、党建动态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仿宋" w:hAnsi="仿宋" w:eastAsia="仿宋_GB2312" w:cs="仿宋"/>
          <w:lang w:val="en-US" w:eastAsia="zh-CN"/>
        </w:rPr>
      </w:pPr>
      <w:r>
        <w:rPr>
          <w:rFonts w:hint="eastAsia" w:ascii="仿宋" w:hAnsi="仿宋" w:eastAsia="仿宋_GB2312" w:cs="仿宋"/>
          <w:lang w:val="en-US" w:eastAsia="zh-CN"/>
        </w:rPr>
        <w:t>我局2023年未收到依申请公开文件，未收到公众申请要求公开的其他方面信息。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仿宋" w:hAnsi="仿宋" w:eastAsia="仿宋_GB2312" w:cs="仿宋"/>
          <w:lang w:val="en-US" w:eastAsia="zh-CN"/>
        </w:rPr>
      </w:pPr>
      <w:r>
        <w:rPr>
          <w:rFonts w:hint="eastAsia" w:ascii="仿宋" w:hAnsi="仿宋" w:eastAsia="仿宋_GB2312" w:cs="仿宋"/>
          <w:lang w:val="en-US" w:eastAsia="zh-CN"/>
        </w:rPr>
        <w:t>2023年度，为持续推进政务公开工作，制定《樟树市乡村振兴局2023年政务公开工作要点》，完善樟树市乡村振兴局信息公开制度。设置政策解读员一名、联络员两名负责政务公开工作，做好稿件公开校验工作。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仿宋" w:hAnsi="仿宋" w:eastAsia="仿宋_GB2312" w:cs="仿宋"/>
          <w:lang w:val="en-US" w:eastAsia="zh-CN"/>
        </w:rPr>
      </w:pPr>
      <w:r>
        <w:rPr>
          <w:rFonts w:hint="eastAsia" w:ascii="仿宋" w:hAnsi="仿宋" w:eastAsia="仿宋_GB2312" w:cs="仿宋"/>
          <w:lang w:val="en-US" w:eastAsia="zh-CN"/>
        </w:rPr>
        <w:t>为发挥好</w:t>
      </w:r>
      <w:r>
        <w:rPr>
          <w:rFonts w:hint="default" w:ascii="仿宋" w:hAnsi="仿宋" w:eastAsia="仿宋_GB2312" w:cs="仿宋"/>
          <w:lang w:val="en-US" w:eastAsia="zh-CN"/>
        </w:rPr>
        <w:t>政府门户网站第一平台作用</w:t>
      </w:r>
      <w:r>
        <w:rPr>
          <w:rFonts w:hint="eastAsia" w:ascii="仿宋" w:hAnsi="仿宋" w:eastAsia="仿宋_GB2312" w:cs="仿宋"/>
          <w:lang w:val="en-US" w:eastAsia="zh-CN"/>
        </w:rPr>
        <w:t>，我局围绕我市巩固拓展脱贫攻坚成果同乡村振兴有效衔接重点工作内容，做好政务信息公开工作。通过政务信息“固定开放月”、张贴“樟树市防止返贫监测对象申报和帮扶政策明白纸”，信息公开多样化。通过栏目信息更新预警、隐私信息、错敏词、断链错链专项排查对政务公开进行</w:t>
      </w:r>
      <w:r>
        <w:rPr>
          <w:rFonts w:hint="default" w:ascii="仿宋" w:hAnsi="仿宋" w:eastAsia="仿宋_GB2312" w:cs="仿宋"/>
          <w:lang w:val="en-US" w:eastAsia="zh-CN"/>
        </w:rPr>
        <w:t>监管</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 w:hAnsi="仿宋" w:eastAsia="仿宋_GB2312" w:cs="仿宋"/>
          <w:lang w:val="en-US" w:eastAsia="zh-CN"/>
        </w:rPr>
      </w:pPr>
      <w:r>
        <w:rPr>
          <w:rFonts w:hint="eastAsia" w:ascii="仿宋" w:hAnsi="仿宋" w:eastAsia="仿宋_GB2312" w:cs="仿宋"/>
          <w:lang w:val="en-US" w:eastAsia="zh-CN"/>
        </w:rPr>
        <w:t>加强组织领导，落实主体责任，主要领导听取政务公开工作汇报、分管领导牵头推进政务公开工作，明确具体负责人员，认真落实政务公开网络信息发布和维护更新，各股室密切配合局办公室做好政务公开。重视政务公开工作人员的政策理论和业务知识的培训，提升政务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textAlignment w:val="auto"/>
        <w:outlineLvl w:val="9"/>
        <w:rPr>
          <w:rFonts w:hint="eastAsia" w:ascii="黑体" w:hAnsi="黑体" w:eastAsia="黑体" w:cs="黑体"/>
          <w:lang w:val="en-US" w:eastAsia="zh-CN"/>
        </w:rPr>
      </w:pPr>
    </w:p>
    <w:p>
      <w:pPr>
        <w:pStyle w:val="2"/>
        <w:rPr>
          <w:rFonts w:hint="eastAsia" w:ascii="黑体" w:hAnsi="黑体" w:eastAsia="黑体" w:cs="黑体"/>
          <w:lang w:val="en-US" w:eastAsia="zh-CN"/>
        </w:rPr>
      </w:pPr>
    </w:p>
    <w:p>
      <w:pPr>
        <w:pStyle w:val="2"/>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eastAsia="zh-CN"/>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b w:val="0"/>
                <w:bCs w:val="0"/>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 w:hAnsi="仿宋" w:eastAsia="仿宋_GB2312" w:cs="仿宋"/>
          <w:lang w:val="en-US" w:eastAsia="zh-CN"/>
        </w:rPr>
      </w:pPr>
      <w:r>
        <w:rPr>
          <w:rFonts w:hint="eastAsia" w:ascii="仿宋" w:hAnsi="仿宋" w:eastAsia="仿宋_GB2312" w:cs="仿宋"/>
          <w:lang w:val="en-US" w:eastAsia="zh-CN"/>
        </w:rPr>
        <w:t>2023年，樟树市乡村振兴局政府信息公开工作取得了一定的成效，但对照新目标、新要求依然存在不足，在政务公开的内容以及形式方面还有提升空间。下一步，我局将持续优化政务信息公开制度，加强学习宣传，提高工作人员业务水平，加大政策发布解读力度，努力提升基层政务公开标准化规范化水平。注重效能转化，推动政务公开服务社会、服务群众、服务基层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32" w:firstLineChars="200"/>
        <w:jc w:val="both"/>
        <w:textAlignment w:val="auto"/>
        <w:rPr>
          <w:rFonts w:hint="default" w:ascii="仿宋" w:hAnsi="仿宋" w:eastAsia="仿宋_GB2312" w:cs="仿宋"/>
          <w:lang w:val="en-US" w:eastAsia="zh-CN"/>
        </w:rPr>
      </w:pPr>
      <w:r>
        <w:rPr>
          <w:rFonts w:hint="eastAsia" w:ascii="仿宋" w:hAnsi="仿宋" w:eastAsia="仿宋_GB2312" w:cs="仿宋"/>
          <w:lang w:val="en-US" w:eastAsia="zh-CN"/>
        </w:rPr>
        <w:t>2023年度，本机关无收取信息处理费情况。发出的发出收费通知的件数和总金额，以及实际收取的总金额均为0。</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A2807B-1562-46AE-993C-4940F41CB7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152A11E1-1597-47EE-B30D-BC5572160739}"/>
  </w:font>
  <w:font w:name="方正小标宋简体">
    <w:panose1 w:val="02000000000000000000"/>
    <w:charset w:val="86"/>
    <w:family w:val="auto"/>
    <w:pitch w:val="default"/>
    <w:sig w:usb0="00000001" w:usb1="08000000" w:usb2="00000000" w:usb3="00000000" w:csb0="00040000" w:csb1="00000000"/>
    <w:embedRegular r:id="rId3" w:fontKey="{16AC7C2D-2DED-4F6D-AFAD-6CAA7F53A8D8}"/>
  </w:font>
  <w:font w:name="仿宋_GB2312">
    <w:panose1 w:val="02010609030101010101"/>
    <w:charset w:val="86"/>
    <w:family w:val="auto"/>
    <w:pitch w:val="default"/>
    <w:sig w:usb0="00000001" w:usb1="080E0000" w:usb2="00000000" w:usb3="00000000" w:csb0="00040000" w:csb1="00000000"/>
    <w:embedRegular r:id="rId4" w:fontKey="{7593F393-1715-4B79-B61B-0DAEB598432C}"/>
  </w:font>
  <w:font w:name="楷体">
    <w:panose1 w:val="02010609060101010101"/>
    <w:charset w:val="86"/>
    <w:family w:val="auto"/>
    <w:pitch w:val="default"/>
    <w:sig w:usb0="800002BF" w:usb1="38CF7CFA" w:usb2="00000016" w:usb3="00000000" w:csb0="00040001" w:csb1="00000000"/>
    <w:embedRegular r:id="rId5" w:fontKey="{A43DBE38-5293-4458-AE82-C76578B1A40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jE1YjJjYWIwYWIzZTNlZGJhMzEwNzA3MmIzYzEifQ=="/>
  </w:docVars>
  <w:rsids>
    <w:rsidRoot w:val="105A4352"/>
    <w:rsid w:val="003D13C1"/>
    <w:rsid w:val="00702C10"/>
    <w:rsid w:val="00D50424"/>
    <w:rsid w:val="016F30CD"/>
    <w:rsid w:val="03813029"/>
    <w:rsid w:val="07F4584C"/>
    <w:rsid w:val="0BED0BAC"/>
    <w:rsid w:val="0F6054BA"/>
    <w:rsid w:val="105A4352"/>
    <w:rsid w:val="11002822"/>
    <w:rsid w:val="11260F07"/>
    <w:rsid w:val="11C85E9D"/>
    <w:rsid w:val="17541E21"/>
    <w:rsid w:val="1BF945D4"/>
    <w:rsid w:val="206207B8"/>
    <w:rsid w:val="20D471CE"/>
    <w:rsid w:val="21E51EFA"/>
    <w:rsid w:val="22AB4154"/>
    <w:rsid w:val="254F7E52"/>
    <w:rsid w:val="29936F22"/>
    <w:rsid w:val="29A63AF9"/>
    <w:rsid w:val="2A174326"/>
    <w:rsid w:val="2C27513E"/>
    <w:rsid w:val="2F960EDF"/>
    <w:rsid w:val="31617888"/>
    <w:rsid w:val="331A6FEB"/>
    <w:rsid w:val="37D50499"/>
    <w:rsid w:val="3A4D6E28"/>
    <w:rsid w:val="3A856F6D"/>
    <w:rsid w:val="3D067FD6"/>
    <w:rsid w:val="4079646E"/>
    <w:rsid w:val="41605AC0"/>
    <w:rsid w:val="44D371FC"/>
    <w:rsid w:val="4A6C6248"/>
    <w:rsid w:val="4F136D0B"/>
    <w:rsid w:val="50451A4A"/>
    <w:rsid w:val="51771504"/>
    <w:rsid w:val="517A53C1"/>
    <w:rsid w:val="530F2B07"/>
    <w:rsid w:val="53BF3212"/>
    <w:rsid w:val="56761331"/>
    <w:rsid w:val="575F690E"/>
    <w:rsid w:val="60F373B9"/>
    <w:rsid w:val="630B1F59"/>
    <w:rsid w:val="63604736"/>
    <w:rsid w:val="65F04705"/>
    <w:rsid w:val="6CD60491"/>
    <w:rsid w:val="6F657FD8"/>
    <w:rsid w:val="6F9150E9"/>
    <w:rsid w:val="71C051BF"/>
    <w:rsid w:val="7492014D"/>
    <w:rsid w:val="75D02165"/>
    <w:rsid w:val="7778792F"/>
    <w:rsid w:val="77B07A0B"/>
    <w:rsid w:val="7803716E"/>
    <w:rsid w:val="7D9817C8"/>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2"/>
    <w:basedOn w:val="1"/>
    <w:autoRedefine/>
    <w:unhideWhenUsed/>
    <w:qFormat/>
    <w:uiPriority w:val="99"/>
    <w:pPr>
      <w:ind w:firstLine="420" w:firstLineChars="200"/>
    </w:pPr>
    <w:rPr>
      <w:sz w:val="3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31</TotalTime>
  <ScaleCrop>false</ScaleCrop>
  <LinksUpToDate>false</LinksUpToDate>
  <CharactersWithSpaces>2807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嘉木</cp:lastModifiedBy>
  <dcterms:modified xsi:type="dcterms:W3CDTF">2024-01-22T00:31:27Z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13FD8CC5C0854AFE9E1DBD61B4C12A06_13</vt:lpwstr>
  </property>
</Properties>
</file>