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樟树市林业局2020年度政府信息</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公开工作年度报告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告依据《中华人民共和国政府信息公开条例》（国务院令第711号，以下简称新《条例》）和《国务院办公厅政府信息与政务公开办公室关于政府信息公开工作年度报告有关事项的通知》（国办公开办函〔2019〕60号）要求，由樟树市林业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樟树市人民政府网站（http://www.zhangshu.gov.cn/）下载。如对本报告有任何疑问，请与樟树市林业局联系（地址：樟树市药都北大道24号，电话：0795-7333835，邮编：331200）。</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一、总体情况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樟树市林业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条例》和《方案》明确目标任务，紧紧围绕省委、省政府中心工作及社会群众关注关切，着力提升政府信息公开质量，推进拓宽政府信息公开渠道，不断增强政府信息公开实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（一）主动公开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各政府部门三定方案，厘清权责清单，细化为机构职能、政务动态、政策文件、规划计划等子栏目，悉数公开各类政府信息，2020年樟树市林业局在樟树市人民政府网信息公开专栏共发布31条，其中政务动态类信息24条，预算决算类信息4条，公开年度报告信息1条，公开机构职能信息1条，公开领导信息1条。</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（二）依申请公开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2020年，樟树市林业局未收到依申请公开。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（三）政府信息管理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加强政府信息公开属性源头管理和网站信息发布审核。二是根据实际情况动态调整更新政府信息公开指南和政府信息主动公开全清单。三是强化规范性文件动态管理机制，对废止和失效规范性文件及时清理，并通过网站向社会公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（四）平台建设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是按照上级事先部署，统一将本地林业专网的线路割接至政务外网，林业专网顺利完成从党政专网向政务外网的迁移。二是林业专网内的国家采伐证系统、运输证系统、省林业局OA系统、全省林业视频会议系统、全省森林防火视频监控系统等所有业务系统全部正常对外服务。林业专网迁移整合工作实现了迁网过程“业务不中断、用户无感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（五）监督保障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为切实做好政府信息公开工作，深化主动公开内容，我局逐步健全政府信息公开工作机制，健全各项政府信息公开制度，及时对信息更新不及时、处理申请不规范、群众反映不满意的现象进行整改，强化监督检查；对应当让社会公众广泛知晓或参与的事项，按照规定的程序，做到及时、主动地公开；对信息公开不正确、不及时等违反公开条例的行为追究相关负责人的责任，进一步保障了政府信息公开工作落到实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二、主动公开政府信息情况</w:t>
      </w:r>
    </w:p>
    <w:tbl>
      <w:tblPr>
        <w:tblStyle w:val="3"/>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1748"/>
        <w:gridCol w:w="2323"/>
        <w:gridCol w:w="2085"/>
        <w:gridCol w:w="22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第二十条第（一）项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本年新制作数量</w:t>
            </w:r>
          </w:p>
        </w:tc>
        <w:tc>
          <w:tcPr>
            <w:tcW w:w="20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本年新公开数量</w:t>
            </w:r>
          </w:p>
        </w:tc>
        <w:tc>
          <w:tcPr>
            <w:tcW w:w="22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对外公开总数量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    章</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20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22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规范性文件</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20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22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第二十条第（五）项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上一年项目数量</w:t>
            </w:r>
          </w:p>
        </w:tc>
        <w:tc>
          <w:tcPr>
            <w:tcW w:w="20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本年增/减</w:t>
            </w:r>
          </w:p>
        </w:tc>
        <w:tc>
          <w:tcPr>
            <w:tcW w:w="22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行政许可</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60</w:t>
            </w:r>
          </w:p>
        </w:tc>
        <w:tc>
          <w:tcPr>
            <w:tcW w:w="20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723</w:t>
            </w:r>
          </w:p>
        </w:tc>
        <w:tc>
          <w:tcPr>
            <w:tcW w:w="22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878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其他对外管理服务事项</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723</w:t>
            </w:r>
          </w:p>
        </w:tc>
        <w:tc>
          <w:tcPr>
            <w:tcW w:w="20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221</w:t>
            </w:r>
          </w:p>
        </w:tc>
        <w:tc>
          <w:tcPr>
            <w:tcW w:w="22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1099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第二十条第（六）项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上一年项目数量</w:t>
            </w:r>
          </w:p>
        </w:tc>
        <w:tc>
          <w:tcPr>
            <w:tcW w:w="20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本年增/减</w:t>
            </w:r>
          </w:p>
        </w:tc>
        <w:tc>
          <w:tcPr>
            <w:tcW w:w="22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处理决定数量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行政处罚</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20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22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行政强制</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208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22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第二十条第（八）项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上一年项目数量</w:t>
            </w:r>
          </w:p>
        </w:tc>
        <w:tc>
          <w:tcPr>
            <w:tcW w:w="42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本年增/减</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行政事业性收费</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42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0" w:type="auto"/>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第二十条第（九）项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信息内容</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采购项目数量</w:t>
            </w:r>
          </w:p>
        </w:tc>
        <w:tc>
          <w:tcPr>
            <w:tcW w:w="42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采购总金额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748"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政府集中采购</w:t>
            </w:r>
          </w:p>
        </w:tc>
        <w:tc>
          <w:tcPr>
            <w:tcW w:w="2323"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429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sz w:val="28"/>
          <w:szCs w:val="28"/>
          <w:lang w:eastAsia="zh-CN"/>
        </w:rPr>
      </w:pPr>
    </w:p>
    <w:p>
      <w:pPr>
        <w:pStyle w:val="2"/>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三、</w:t>
      </w:r>
      <w:r>
        <w:rPr>
          <w:rFonts w:hint="eastAsia" w:ascii="仿宋_GB2312" w:hAnsi="仿宋_GB2312" w:eastAsia="仿宋_GB2312" w:cs="仿宋_GB2312"/>
          <w:sz w:val="28"/>
          <w:szCs w:val="28"/>
        </w:rPr>
        <w:t>收到和处理政府信息公开申请情况</w:t>
      </w:r>
    </w:p>
    <w:tbl>
      <w:tblPr>
        <w:tblStyle w:val="3"/>
        <w:tblpPr w:leftFromText="180" w:rightFromText="180" w:vertAnchor="text" w:horzAnchor="page" w:tblpX="1094" w:tblpY="1114"/>
        <w:tblOverlap w:val="never"/>
        <w:tblW w:w="9915" w:type="dxa"/>
        <w:jc w:val="center"/>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50"/>
        <w:gridCol w:w="1155"/>
        <w:gridCol w:w="2040"/>
        <w:gridCol w:w="735"/>
        <w:gridCol w:w="735"/>
        <w:gridCol w:w="735"/>
        <w:gridCol w:w="975"/>
        <w:gridCol w:w="1005"/>
        <w:gridCol w:w="750"/>
        <w:gridCol w:w="7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4245"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both"/>
            </w:pPr>
            <w:r>
              <w:rPr>
                <w:rFonts w:ascii="仿宋" w:hAnsi="仿宋" w:eastAsia="仿宋" w:cs="仿宋"/>
                <w:sz w:val="24"/>
                <w:szCs w:val="24"/>
              </w:rPr>
              <w:t>本列数据的勾稽关系为：第一项加第二项之和，等于第三项加第四项之和</w:t>
            </w:r>
          </w:p>
        </w:tc>
        <w:tc>
          <w:tcPr>
            <w:tcW w:w="5670" w:type="dxa"/>
            <w:gridSpan w:val="7"/>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424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4935" w:type="dxa"/>
            <w:gridSpan w:val="6"/>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法人或其他组织</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合计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55" w:hRule="atLeast"/>
          <w:tblCellSpacing w:w="0" w:type="dxa"/>
          <w:jc w:val="center"/>
        </w:trPr>
        <w:tc>
          <w:tcPr>
            <w:tcW w:w="424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自然人</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商业</w:t>
            </w:r>
          </w:p>
          <w:p>
            <w:pPr>
              <w:pStyle w:val="2"/>
              <w:keepNext w:val="0"/>
              <w:keepLines w:val="0"/>
              <w:widowControl/>
              <w:suppressLineNumbers w:val="0"/>
              <w:spacing w:line="300" w:lineRule="atLeast"/>
              <w:jc w:val="center"/>
            </w:pPr>
            <w:r>
              <w:rPr>
                <w:rFonts w:hint="eastAsia" w:ascii="仿宋" w:hAnsi="仿宋" w:eastAsia="仿宋" w:cs="仿宋"/>
                <w:sz w:val="24"/>
                <w:szCs w:val="24"/>
              </w:rPr>
              <w:t>企业</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科研</w:t>
            </w:r>
          </w:p>
          <w:p>
            <w:pPr>
              <w:pStyle w:val="2"/>
              <w:keepNext w:val="0"/>
              <w:keepLines w:val="0"/>
              <w:widowControl/>
              <w:suppressLineNumbers w:val="0"/>
              <w:spacing w:line="300" w:lineRule="atLeast"/>
              <w:jc w:val="center"/>
            </w:pPr>
            <w:r>
              <w:rPr>
                <w:rFonts w:hint="eastAsia" w:ascii="仿宋" w:hAnsi="仿宋" w:eastAsia="仿宋" w:cs="仿宋"/>
                <w:sz w:val="24"/>
                <w:szCs w:val="24"/>
              </w:rPr>
              <w:t>机构</w:t>
            </w:r>
          </w:p>
        </w:tc>
        <w:tc>
          <w:tcPr>
            <w:tcW w:w="97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社会公益组织</w:t>
            </w:r>
          </w:p>
        </w:tc>
        <w:tc>
          <w:tcPr>
            <w:tcW w:w="100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法律服务机构</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其他</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Fonts w:hint="eastAsia" w:ascii="仿宋" w:hAnsi="仿宋" w:eastAsia="仿宋" w:cs="仿宋"/>
                <w:sz w:val="24"/>
                <w:szCs w:val="24"/>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4245"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Style w:val="5"/>
                <w:rFonts w:hint="eastAsia" w:ascii="仿宋" w:hAnsi="仿宋" w:eastAsia="仿宋" w:cs="仿宋"/>
                <w:sz w:val="24"/>
                <w:szCs w:val="24"/>
              </w:rPr>
              <w:t>一</w:t>
            </w:r>
            <w:r>
              <w:rPr>
                <w:rFonts w:hint="eastAsia" w:ascii="仿宋" w:hAnsi="仿宋" w:eastAsia="仿宋" w:cs="仿宋"/>
                <w:sz w:val="24"/>
                <w:szCs w:val="24"/>
              </w:rPr>
              <w:t>、本年新收政府信息公开申请数量</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4245"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Style w:val="5"/>
                <w:rFonts w:hint="eastAsia" w:ascii="仿宋" w:hAnsi="仿宋" w:eastAsia="仿宋" w:cs="仿宋"/>
                <w:sz w:val="24"/>
                <w:szCs w:val="24"/>
              </w:rPr>
              <w:t>二</w:t>
            </w:r>
            <w:r>
              <w:rPr>
                <w:rFonts w:hint="eastAsia" w:ascii="仿宋" w:hAnsi="仿宋" w:eastAsia="仿宋" w:cs="仿宋"/>
                <w:sz w:val="24"/>
                <w:szCs w:val="24"/>
              </w:rPr>
              <w:t>、上年结转政府信息公开申请数量</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jc w:val="center"/>
            </w:pPr>
            <w:r>
              <w:rPr>
                <w:rStyle w:val="5"/>
                <w:rFonts w:hint="eastAsia" w:ascii="仿宋" w:hAnsi="仿宋" w:eastAsia="仿宋" w:cs="仿宋"/>
                <w:sz w:val="24"/>
                <w:szCs w:val="24"/>
              </w:rPr>
              <w:t>三</w:t>
            </w:r>
            <w:r>
              <w:rPr>
                <w:rFonts w:hint="eastAsia" w:ascii="仿宋" w:hAnsi="仿宋" w:eastAsia="仿宋" w:cs="仿宋"/>
                <w:sz w:val="24"/>
                <w:szCs w:val="24"/>
              </w:rPr>
              <w:t>、本年度办理结果</w:t>
            </w:r>
          </w:p>
        </w:tc>
        <w:tc>
          <w:tcPr>
            <w:tcW w:w="3195" w:type="dxa"/>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（一）予以公开</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195" w:type="dxa"/>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（二）部分公开（区分处理的，只记这一情形，不记其他情形）</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spacing w:line="300" w:lineRule="atLeast"/>
            </w:pPr>
            <w:r>
              <w:rPr>
                <w:rFonts w:hint="eastAsia" w:ascii="仿宋" w:hAnsi="仿宋" w:eastAsia="仿宋" w:cs="仿宋"/>
                <w:sz w:val="24"/>
                <w:szCs w:val="24"/>
              </w:rPr>
              <w:t>（三）不予公开</w:t>
            </w: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1.属于国家秘密</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2.其他法律行政法规禁止公开</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3.危及“三安全一稳定”</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4.保护第三方合法权益</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5.属于三类内部事务信息</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6.属于四类过程性信息</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7.属于行政执法案卷</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8.属于行政查询事项</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（四）无法提供</w:t>
            </w: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1.本机关不掌握相关政府信息</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2.没有现成信息需要另行制作</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3.补正后申请内容仍不明确</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（五）不予处理</w:t>
            </w: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1.信访投诉举报类申请</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2.重复申请</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3.要求提供公开出版物</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4.无正当理由大量反复申请</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1155"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rPr>
                <w:rFonts w:hint="eastAsia" w:ascii="宋体"/>
                <w:sz w:val="24"/>
                <w:szCs w:val="24"/>
              </w:rPr>
            </w:pPr>
          </w:p>
        </w:tc>
        <w:tc>
          <w:tcPr>
            <w:tcW w:w="204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5.要求行政机关确认或重新出具已获取信息</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050"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eastAsia" w:ascii="宋体"/>
                <w:sz w:val="24"/>
                <w:szCs w:val="24"/>
              </w:rPr>
            </w:pPr>
          </w:p>
        </w:tc>
        <w:tc>
          <w:tcPr>
            <w:tcW w:w="3195" w:type="dxa"/>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（六）其他处理</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10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 </w:t>
            </w:r>
          </w:p>
        </w:tc>
        <w:tc>
          <w:tcPr>
            <w:tcW w:w="3195" w:type="dxa"/>
            <w:gridSpan w:val="2"/>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（七）总计</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center"/>
        </w:trPr>
        <w:tc>
          <w:tcPr>
            <w:tcW w:w="4245" w:type="dxa"/>
            <w:gridSpan w:val="3"/>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pPr>
            <w:r>
              <w:rPr>
                <w:rFonts w:hint="eastAsia" w:ascii="仿宋" w:hAnsi="仿宋" w:eastAsia="仿宋" w:cs="仿宋"/>
                <w:sz w:val="24"/>
                <w:szCs w:val="24"/>
              </w:rPr>
              <w:t>四、结转下年度继续办理</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97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100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50"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c>
          <w:tcPr>
            <w:tcW w:w="735" w:type="dxa"/>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top"/>
          </w:tcPr>
          <w:p>
            <w:pPr>
              <w:pStyle w:val="2"/>
              <w:keepNext w:val="0"/>
              <w:keepLines w:val="0"/>
              <w:widowControl/>
              <w:suppressLineNumbers w:val="0"/>
              <w:spacing w:line="300" w:lineRule="atLeast"/>
              <w:jc w:val="center"/>
            </w:pPr>
            <w:r>
              <w:rPr>
                <w:rFonts w:hint="eastAsia" w:ascii="仿宋" w:hAnsi="仿宋" w:eastAsia="仿宋" w:cs="仿宋"/>
                <w:sz w:val="24"/>
                <w:szCs w:val="24"/>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hint="eastAsia" w:ascii="仿宋_GB2312" w:hAnsi="仿宋_GB2312" w:eastAsia="仿宋_GB2312" w:cs="仿宋_GB2312"/>
          <w:sz w:val="28"/>
          <w:szCs w:val="28"/>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四、因政府信息公开工作被申请行政复议提起行政诉讼情况</w:t>
      </w:r>
    </w:p>
    <w:tbl>
      <w:tblPr>
        <w:tblStyle w:val="3"/>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770"/>
        <w:gridCol w:w="770"/>
        <w:gridCol w:w="770"/>
        <w:gridCol w:w="770"/>
        <w:gridCol w:w="483"/>
        <w:gridCol w:w="770"/>
        <w:gridCol w:w="770"/>
        <w:gridCol w:w="770"/>
        <w:gridCol w:w="770"/>
        <w:gridCol w:w="483"/>
        <w:gridCol w:w="248"/>
        <w:gridCol w:w="248"/>
        <w:gridCol w:w="248"/>
        <w:gridCol w:w="248"/>
        <w:gridCol w:w="248"/>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行政复议</w:t>
            </w:r>
          </w:p>
        </w:tc>
        <w:tc>
          <w:tcPr>
            <w:tcW w:w="0" w:type="auto"/>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行政诉讼</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结果维护</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结果纠正</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其他结果</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尚未审结</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总计</w:t>
            </w:r>
          </w:p>
        </w:tc>
        <w:tc>
          <w:tcPr>
            <w:tcW w:w="0" w:type="auto"/>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未经复议直接起诉</w:t>
            </w:r>
          </w:p>
        </w:tc>
        <w:tc>
          <w:tcPr>
            <w:tcW w:w="0" w:type="auto"/>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复议后起诉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结果维护</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结果纠正</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其他结果</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尚未审结</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总计</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结果维护</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结果纠正</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其他结果</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尚未审结</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总计</w:t>
            </w:r>
          </w:p>
        </w:tc>
        <w:tc>
          <w:tcPr>
            <w:tcW w:w="0" w:type="auto"/>
            <w:tcBorders>
              <w:top w:val="outset" w:color="000000" w:sz="6" w:space="0"/>
              <w:left w:val="nil"/>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仿宋_GB2312" w:hAnsi="仿宋_GB2312" w:eastAsia="仿宋_GB2312" w:cs="仿宋_GB2312"/>
                <w:sz w:val="24"/>
                <w:szCs w:val="24"/>
              </w:rPr>
            </w:pPr>
          </w:p>
        </w:tc>
        <w:tc>
          <w:tcPr>
            <w:tcW w:w="0" w:type="auto"/>
            <w:tcBorders>
              <w:top w:val="outset" w:color="000000" w:sz="6" w:space="0"/>
              <w:left w:val="nil"/>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仿宋_GB2312" w:hAnsi="仿宋_GB2312" w:eastAsia="仿宋_GB2312" w:cs="仿宋_GB2312"/>
                <w:sz w:val="24"/>
                <w:szCs w:val="24"/>
              </w:rPr>
            </w:pPr>
          </w:p>
        </w:tc>
        <w:tc>
          <w:tcPr>
            <w:tcW w:w="0" w:type="auto"/>
            <w:tcBorders>
              <w:top w:val="outset" w:color="000000" w:sz="6" w:space="0"/>
              <w:left w:val="nil"/>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仿宋_GB2312" w:hAnsi="仿宋_GB2312" w:eastAsia="仿宋_GB2312" w:cs="仿宋_GB2312"/>
                <w:sz w:val="24"/>
                <w:szCs w:val="24"/>
              </w:rPr>
            </w:pPr>
          </w:p>
        </w:tc>
        <w:tc>
          <w:tcPr>
            <w:tcW w:w="0" w:type="auto"/>
            <w:tcBorders>
              <w:top w:val="outset" w:color="000000" w:sz="6" w:space="0"/>
              <w:left w:val="nil"/>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仿宋_GB2312" w:hAnsi="仿宋_GB2312" w:eastAsia="仿宋_GB2312" w:cs="仿宋_GB2312"/>
                <w:sz w:val="24"/>
                <w:szCs w:val="24"/>
              </w:rPr>
            </w:pPr>
          </w:p>
        </w:tc>
        <w:tc>
          <w:tcPr>
            <w:tcW w:w="0" w:type="auto"/>
            <w:tcBorders>
              <w:top w:val="outset" w:color="000000" w:sz="6" w:space="0"/>
              <w:left w:val="nil"/>
              <w:bottom w:val="outset" w:color="000000" w:sz="6" w:space="0"/>
              <w:right w:val="outset" w:color="000000" w:sz="6"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400" w:lineRule="exact"/>
              <w:jc w:val="center"/>
              <w:textAlignment w:val="auto"/>
              <w:rPr>
                <w:rFonts w:hint="eastAsia" w:ascii="仿宋_GB2312" w:hAnsi="仿宋_GB2312" w:eastAsia="仿宋_GB2312" w:cs="仿宋_GB231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0" w:type="auto"/>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五、存在的主要问题及改进情况</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局认真贯彻落实《条例》，政府信息公开工作取得了一定成效，但也存在一些问题和不足：一是信息公开及时性不够；二是信息内容挖掘不够深，信息收集方式存在局限性；三是信息公开队伍建设有待进一步加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2021年我们将继续推进政府信息公开工作。一是提高认识，强化对政府信息公开工作重要性的认识。二是不断完善政府信息公开的内容，拓宽信息收集的渠道。三是强化干职工的信息化素质建设，加强对信息员的业务培训，规范信息公开行为，提高信息公开质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六、其他需要报告的事项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2020年度，本机关无收取信息处理费情况。无其他需要报告的其他事项。</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MzQxMWYxMzNiMWVjNTJjNmI2NTUzMjBlYTVkNmYifQ=="/>
  </w:docVars>
  <w:rsids>
    <w:rsidRoot w:val="47AE7EE4"/>
    <w:rsid w:val="1B4913F4"/>
    <w:rsid w:val="47AE7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2299</Words>
  <Characters>2423</Characters>
  <Lines>0</Lines>
  <Paragraphs>0</Paragraphs>
  <TotalTime>0</TotalTime>
  <ScaleCrop>false</ScaleCrop>
  <LinksUpToDate>false</LinksUpToDate>
  <CharactersWithSpaces>2424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2023-01-19T02:10:00Z</dcterms:created>
  <dc:creator>罗嘉</dc:creator>
  <cp:lastModifiedBy>罗嘉</cp:lastModifiedBy>
  <dcterms:modified xsi:type="dcterms:W3CDTF">2023-01-29T01:26:38Z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C94D832358F0442E9422E879F82460A4</vt:lpwstr>
  </property>
</Properties>
</file>