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center"/>
        <w:rPr>
          <w:rFonts w:hint="eastAsia" w:ascii="方正小标宋简体" w:hAnsi="方正小标宋简体" w:eastAsia="方正小标宋简体" w:cs="方正小标宋简体"/>
          <w:sz w:val="36"/>
          <w:szCs w:val="36"/>
          <w:lang w:val="en-US" w:eastAsia="zh-CN"/>
        </w:rPr>
      </w:pPr>
      <w:r>
        <w:rPr>
          <w:rFonts w:hint="eastAsia" w:ascii="方正小标宋简体" w:hAnsi="方正小标宋简体" w:eastAsia="方正小标宋简体" w:cs="方正小标宋简体"/>
          <w:b/>
          <w:bCs/>
          <w:color w:val="333333"/>
          <w:kern w:val="0"/>
          <w:sz w:val="36"/>
          <w:szCs w:val="36"/>
          <w:lang w:val="en-US" w:eastAsia="zh-CN" w:bidi="ar"/>
        </w:rPr>
        <w:t>樟树市林业局2021年政府信息公开工作年度报告</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报告依据《中华人民共和国政府信息公开条例》（国务院令第711号，以下简称新《条例》）和《国务院办公厅政府信息与政务公开办公室关于政府信息公开工作年度报告有关事项的通知》（国办公开办函〔2019〕60号）要求，由樟树市林业局结合有关统计数据编制。本年度报告中所列数据的统计期限自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年1月1日起至202</w:t>
      </w:r>
      <w:r>
        <w:rPr>
          <w:rFonts w:hint="eastAsia" w:ascii="仿宋_GB2312" w:hAnsi="仿宋_GB2312" w:eastAsia="仿宋_GB2312" w:cs="仿宋_GB2312"/>
          <w:sz w:val="32"/>
          <w:szCs w:val="32"/>
          <w:lang w:val="en-US" w:eastAsia="zh-CN"/>
        </w:rPr>
        <w:t>1</w:t>
      </w:r>
      <w:r>
        <w:rPr>
          <w:rFonts w:hint="eastAsia" w:ascii="仿宋_GB2312" w:hAnsi="仿宋_GB2312" w:eastAsia="仿宋_GB2312" w:cs="仿宋_GB2312"/>
          <w:sz w:val="32"/>
          <w:szCs w:val="32"/>
        </w:rPr>
        <w:t>年12月31日止。本年度报告的电子版可以从樟树市</w:t>
      </w:r>
      <w:r>
        <w:rPr>
          <w:rFonts w:hint="eastAsia" w:ascii="仿宋_GB2312" w:hAnsi="仿宋_GB2312" w:eastAsia="仿宋_GB2312" w:cs="仿宋_GB2312"/>
          <w:sz w:val="32"/>
          <w:szCs w:val="32"/>
          <w:lang w:val="en-US" w:eastAsia="zh-CN"/>
        </w:rPr>
        <w:t>林业局政府信息公开</w:t>
      </w:r>
      <w:r>
        <w:rPr>
          <w:rFonts w:hint="eastAsia" w:ascii="仿宋_GB2312" w:hAnsi="仿宋_GB2312" w:eastAsia="仿宋_GB2312" w:cs="仿宋_GB2312"/>
          <w:sz w:val="32"/>
          <w:szCs w:val="32"/>
        </w:rPr>
        <w:t>网站（http://www.zhangshu.gov.cn/xxgk-list-shilinyeju.html）下载。如对本报告有任何疑问，请与樟树市林业局联系（地址：樟树市药都北大道24号，电话：0795-7333835，邮编：331200）。</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rPr>
      </w:pPr>
      <w:r>
        <w:rPr>
          <w:rFonts w:hint="eastAsia" w:ascii="黑体" w:hAnsi="黑体" w:eastAsia="黑体" w:cs="黑体"/>
          <w:sz w:val="32"/>
          <w:szCs w:val="32"/>
        </w:rPr>
        <w:t>一、总体情况</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 w:hAnsi="楷体" w:eastAsia="楷体" w:cs="楷体"/>
          <w:b/>
          <w:bCs/>
          <w:sz w:val="32"/>
          <w:szCs w:val="32"/>
          <w:highlight w:val="none"/>
        </w:rPr>
      </w:pPr>
      <w:r>
        <w:rPr>
          <w:rFonts w:hint="eastAsia" w:ascii="楷体" w:hAnsi="楷体" w:eastAsia="楷体" w:cs="楷体"/>
          <w:b/>
          <w:bCs/>
          <w:sz w:val="32"/>
          <w:szCs w:val="32"/>
          <w:highlight w:val="none"/>
        </w:rPr>
        <w:t>（一）主动公开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1.决策公开：建立“意见征集”、“意见采纳”信箱，涉及公共利益和公众权益的重大事项，主动向社会公布决策草案、决策依据等，广泛听取公众意见，征集意见的主要观点、采纳意见数量、未采纳意见理由等情况均向社会主动公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2.管理公开：权责清单、清单动态调整公开机制、行政执法公示制度、监管情况。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3.服务公开：公共服务事项清单协调一致、动态管理，与市政府网站实行同源管理、同源发布，确保事项完整、政策文件依据简要、重点要素类别齐全、办理材料格式要求明确、内容表述清楚准确。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4.结果公开：建立重大决策及重要政策落实情况、发展规划及工作报告、决定事项落实、重大决策跟踪反馈和评估制度。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5.执行公开：重点领域信息公开、财政预决算、公共资源配置。</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202</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rPr>
        <w:t>年樟树市林业局在樟树市人民政府网信息公开专栏共发布</w:t>
      </w:r>
      <w:r>
        <w:rPr>
          <w:rFonts w:hint="eastAsia" w:ascii="仿宋_GB2312" w:hAnsi="仿宋_GB2312" w:eastAsia="仿宋_GB2312" w:cs="仿宋_GB2312"/>
          <w:sz w:val="32"/>
          <w:szCs w:val="32"/>
          <w:highlight w:val="none"/>
          <w:lang w:val="en-US" w:eastAsia="zh-CN"/>
        </w:rPr>
        <w:t>56</w:t>
      </w:r>
      <w:r>
        <w:rPr>
          <w:rFonts w:hint="eastAsia" w:ascii="仿宋_GB2312" w:hAnsi="仿宋_GB2312" w:eastAsia="仿宋_GB2312" w:cs="仿宋_GB2312"/>
          <w:sz w:val="32"/>
          <w:szCs w:val="32"/>
          <w:highlight w:val="none"/>
        </w:rPr>
        <w:t>条，其中政务动态类信息</w:t>
      </w:r>
      <w:r>
        <w:rPr>
          <w:rFonts w:hint="eastAsia" w:ascii="仿宋_GB2312" w:hAnsi="仿宋_GB2312" w:eastAsia="仿宋_GB2312" w:cs="仿宋_GB2312"/>
          <w:sz w:val="32"/>
          <w:szCs w:val="32"/>
          <w:highlight w:val="none"/>
          <w:lang w:val="en-US" w:eastAsia="zh-CN"/>
        </w:rPr>
        <w:t>42</w:t>
      </w:r>
      <w:r>
        <w:rPr>
          <w:rFonts w:hint="eastAsia" w:ascii="仿宋_GB2312" w:hAnsi="仿宋_GB2312" w:eastAsia="仿宋_GB2312" w:cs="仿宋_GB2312"/>
          <w:sz w:val="32"/>
          <w:szCs w:val="32"/>
          <w:highlight w:val="none"/>
        </w:rPr>
        <w:t>条，预算决算类信息</w:t>
      </w:r>
      <w:r>
        <w:rPr>
          <w:rFonts w:hint="eastAsia" w:ascii="仿宋_GB2312" w:hAnsi="仿宋_GB2312" w:eastAsia="仿宋_GB2312" w:cs="仿宋_GB2312"/>
          <w:sz w:val="32"/>
          <w:szCs w:val="32"/>
          <w:highlight w:val="none"/>
          <w:lang w:val="en-US" w:eastAsia="zh-CN"/>
        </w:rPr>
        <w:t>10</w:t>
      </w:r>
      <w:r>
        <w:rPr>
          <w:rFonts w:hint="eastAsia" w:ascii="仿宋_GB2312" w:hAnsi="仿宋_GB2312" w:eastAsia="仿宋_GB2312" w:cs="仿宋_GB2312"/>
          <w:sz w:val="32"/>
          <w:szCs w:val="32"/>
          <w:highlight w:val="none"/>
        </w:rPr>
        <w:t>条，公开年度报告信息1条，公开机构职能信息</w:t>
      </w:r>
      <w:r>
        <w:rPr>
          <w:rFonts w:hint="eastAsia" w:ascii="仿宋_GB2312" w:hAnsi="仿宋_GB2312" w:eastAsia="仿宋_GB2312" w:cs="仿宋_GB2312"/>
          <w:sz w:val="32"/>
          <w:szCs w:val="32"/>
          <w:highlight w:val="none"/>
          <w:lang w:val="en-US" w:eastAsia="zh-CN"/>
        </w:rPr>
        <w:t>2</w:t>
      </w:r>
      <w:r>
        <w:rPr>
          <w:rFonts w:hint="eastAsia" w:ascii="仿宋_GB2312" w:hAnsi="仿宋_GB2312" w:eastAsia="仿宋_GB2312" w:cs="仿宋_GB2312"/>
          <w:sz w:val="32"/>
          <w:szCs w:val="32"/>
          <w:highlight w:val="none"/>
        </w:rPr>
        <w:t>条，公开领导信息1条。</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 w:hAnsi="楷体" w:eastAsia="楷体" w:cs="楷体"/>
          <w:b/>
          <w:bCs/>
          <w:sz w:val="32"/>
          <w:szCs w:val="32"/>
          <w:highlight w:val="none"/>
        </w:rPr>
      </w:pPr>
      <w:r>
        <w:rPr>
          <w:rFonts w:hint="eastAsia" w:ascii="楷体" w:hAnsi="楷体" w:eastAsia="楷体" w:cs="楷体"/>
          <w:b/>
          <w:bCs/>
          <w:sz w:val="32"/>
          <w:szCs w:val="32"/>
          <w:highlight w:val="none"/>
        </w:rPr>
        <w:t>（二）依申请公开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sz w:val="32"/>
          <w:szCs w:val="32"/>
          <w:highlight w:val="none"/>
        </w:rPr>
        <w:t>202</w:t>
      </w:r>
      <w:r>
        <w:rPr>
          <w:rFonts w:hint="eastAsia" w:ascii="仿宋_GB2312" w:hAnsi="仿宋_GB2312" w:eastAsia="仿宋_GB2312" w:cs="仿宋_GB2312"/>
          <w:sz w:val="32"/>
          <w:szCs w:val="32"/>
          <w:highlight w:val="none"/>
          <w:lang w:val="en-US" w:eastAsia="zh-CN"/>
        </w:rPr>
        <w:t>1</w:t>
      </w:r>
      <w:r>
        <w:rPr>
          <w:rFonts w:hint="eastAsia" w:ascii="仿宋_GB2312" w:hAnsi="仿宋_GB2312" w:eastAsia="仿宋_GB2312" w:cs="仿宋_GB2312"/>
          <w:sz w:val="32"/>
          <w:szCs w:val="32"/>
          <w:highlight w:val="none"/>
        </w:rPr>
        <w:t>年，樟树市林业局未收到依申请公开。</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 w:hAnsi="楷体" w:eastAsia="楷体" w:cs="楷体"/>
          <w:b/>
          <w:bCs/>
          <w:sz w:val="32"/>
          <w:szCs w:val="32"/>
          <w:highlight w:val="none"/>
        </w:rPr>
      </w:pPr>
      <w:r>
        <w:rPr>
          <w:rFonts w:hint="eastAsia" w:ascii="楷体" w:hAnsi="楷体" w:eastAsia="楷体" w:cs="楷体"/>
          <w:b/>
          <w:bCs/>
          <w:sz w:val="32"/>
          <w:szCs w:val="32"/>
          <w:highlight w:val="none"/>
        </w:rPr>
        <w:t>（三）政府信息管理</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highlight w:val="none"/>
        </w:rPr>
      </w:pPr>
      <w:r>
        <w:rPr>
          <w:rFonts w:hint="eastAsia" w:ascii="仿宋_GB2312" w:hAnsi="仿宋_GB2312" w:eastAsia="仿宋_GB2312" w:cs="仿宋_GB2312"/>
          <w:b/>
          <w:bCs/>
          <w:sz w:val="32"/>
          <w:szCs w:val="32"/>
          <w:highlight w:val="none"/>
        </w:rPr>
        <w:t>一是</w:t>
      </w:r>
      <w:r>
        <w:rPr>
          <w:rFonts w:hint="eastAsia" w:ascii="仿宋_GB2312" w:hAnsi="仿宋_GB2312" w:eastAsia="仿宋_GB2312" w:cs="仿宋_GB2312"/>
          <w:sz w:val="32"/>
          <w:szCs w:val="32"/>
          <w:highlight w:val="none"/>
        </w:rPr>
        <w:t>加强政府信息公开属性源头管理和网站信息发布审核。</w:t>
      </w:r>
      <w:r>
        <w:rPr>
          <w:rFonts w:hint="eastAsia" w:ascii="仿宋_GB2312" w:hAnsi="仿宋_GB2312" w:eastAsia="仿宋_GB2312" w:cs="仿宋_GB2312"/>
          <w:b/>
          <w:bCs/>
          <w:sz w:val="32"/>
          <w:szCs w:val="32"/>
          <w:highlight w:val="none"/>
        </w:rPr>
        <w:t>二是</w:t>
      </w:r>
      <w:r>
        <w:rPr>
          <w:rFonts w:hint="eastAsia" w:ascii="仿宋_GB2312" w:hAnsi="仿宋_GB2312" w:eastAsia="仿宋_GB2312" w:cs="仿宋_GB2312"/>
          <w:sz w:val="32"/>
          <w:szCs w:val="32"/>
          <w:highlight w:val="none"/>
        </w:rPr>
        <w:t>根据实际情况动态调整更新政府信息公开指南和政府信息主动公开全清单。</w:t>
      </w:r>
      <w:r>
        <w:rPr>
          <w:rFonts w:hint="eastAsia" w:ascii="仿宋_GB2312" w:hAnsi="仿宋_GB2312" w:eastAsia="仿宋_GB2312" w:cs="仿宋_GB2312"/>
          <w:b/>
          <w:bCs/>
          <w:sz w:val="32"/>
          <w:szCs w:val="32"/>
          <w:highlight w:val="none"/>
        </w:rPr>
        <w:t>三是</w:t>
      </w:r>
      <w:r>
        <w:rPr>
          <w:rFonts w:hint="eastAsia" w:ascii="仿宋_GB2312" w:hAnsi="仿宋_GB2312" w:eastAsia="仿宋_GB2312" w:cs="仿宋_GB2312"/>
          <w:sz w:val="32"/>
          <w:szCs w:val="32"/>
          <w:highlight w:val="none"/>
        </w:rPr>
        <w:t>强化规范性文件动态管理机制，对废止和失效规范性文件及时清理，并通过网站向社会公开。</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楷体" w:hAnsi="楷体" w:eastAsia="楷体" w:cs="楷体"/>
          <w:b/>
          <w:bCs/>
          <w:sz w:val="32"/>
          <w:szCs w:val="32"/>
          <w:highlight w:val="none"/>
        </w:rPr>
      </w:pPr>
      <w:r>
        <w:rPr>
          <w:rFonts w:hint="eastAsia" w:ascii="楷体" w:hAnsi="楷体" w:eastAsia="楷体" w:cs="楷体"/>
          <w:b/>
          <w:bCs/>
          <w:sz w:val="32"/>
          <w:szCs w:val="32"/>
          <w:highlight w:val="none"/>
          <w:lang w:eastAsia="zh-CN"/>
        </w:rPr>
        <w:t>（</w:t>
      </w:r>
      <w:r>
        <w:rPr>
          <w:rFonts w:hint="eastAsia" w:ascii="楷体" w:hAnsi="楷体" w:eastAsia="楷体" w:cs="楷体"/>
          <w:b/>
          <w:bCs/>
          <w:sz w:val="32"/>
          <w:szCs w:val="32"/>
          <w:highlight w:val="none"/>
          <w:lang w:val="en-US" w:eastAsia="zh-CN"/>
        </w:rPr>
        <w:t>四</w:t>
      </w:r>
      <w:r>
        <w:rPr>
          <w:rFonts w:hint="eastAsia" w:ascii="楷体" w:hAnsi="楷体" w:eastAsia="楷体" w:cs="楷体"/>
          <w:b/>
          <w:bCs/>
          <w:sz w:val="32"/>
          <w:szCs w:val="32"/>
          <w:highlight w:val="none"/>
          <w:lang w:eastAsia="zh-CN"/>
        </w:rPr>
        <w:t>）</w:t>
      </w:r>
      <w:r>
        <w:rPr>
          <w:rFonts w:hint="eastAsia" w:ascii="楷体" w:hAnsi="楷体" w:eastAsia="楷体" w:cs="楷体"/>
          <w:b/>
          <w:bCs/>
          <w:sz w:val="32"/>
          <w:szCs w:val="32"/>
          <w:highlight w:val="none"/>
        </w:rPr>
        <w:t xml:space="preserve"> 政府信息公开平台建设</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b/>
          <w:bCs/>
          <w:sz w:val="32"/>
          <w:szCs w:val="32"/>
          <w:highlight w:val="none"/>
          <w:lang w:val="en-US" w:eastAsia="zh-CN"/>
        </w:rPr>
        <w:t>一是</w:t>
      </w:r>
      <w:r>
        <w:rPr>
          <w:rFonts w:hint="eastAsia" w:ascii="仿宋_GB2312" w:hAnsi="仿宋_GB2312" w:eastAsia="仿宋_GB2312" w:cs="仿宋_GB2312"/>
          <w:sz w:val="32"/>
          <w:szCs w:val="32"/>
          <w:highlight w:val="none"/>
          <w:lang w:val="en-US" w:eastAsia="zh-CN"/>
        </w:rPr>
        <w:t>领导重视，经常部署相关工作；</w:t>
      </w:r>
      <w:r>
        <w:rPr>
          <w:rFonts w:hint="eastAsia" w:ascii="仿宋_GB2312" w:hAnsi="仿宋_GB2312" w:eastAsia="仿宋_GB2312" w:cs="仿宋_GB2312"/>
          <w:b/>
          <w:bCs/>
          <w:sz w:val="32"/>
          <w:szCs w:val="32"/>
          <w:highlight w:val="none"/>
          <w:lang w:val="en-US" w:eastAsia="zh-CN"/>
        </w:rPr>
        <w:t>二是</w:t>
      </w:r>
      <w:r>
        <w:rPr>
          <w:rFonts w:hint="eastAsia" w:ascii="仿宋_GB2312" w:hAnsi="仿宋_GB2312" w:eastAsia="仿宋_GB2312" w:cs="仿宋_GB2312"/>
          <w:sz w:val="32"/>
          <w:szCs w:val="32"/>
          <w:highlight w:val="none"/>
          <w:lang w:val="en-US" w:eastAsia="zh-CN"/>
        </w:rPr>
        <w:t>设置公开指南、工作动态、机构职能、财经信息、政府信息公开年度报告、政策文件、政策解读、规划计划等多个栏目进行信息公开，</w:t>
      </w:r>
      <w:r>
        <w:rPr>
          <w:rFonts w:hint="eastAsia" w:ascii="仿宋_GB2312" w:hAnsi="仿宋_GB2312" w:eastAsia="仿宋_GB2312" w:cs="仿宋_GB2312"/>
          <w:sz w:val="32"/>
          <w:szCs w:val="32"/>
          <w:highlight w:val="none"/>
        </w:rPr>
        <w:t>林业专网内的国家采伐证系统、运输证系统等所有业务系统全部正常对外服务</w:t>
      </w:r>
      <w:r>
        <w:rPr>
          <w:rFonts w:hint="eastAsia" w:ascii="仿宋_GB2312" w:hAnsi="仿宋_GB2312" w:eastAsia="仿宋_GB2312" w:cs="仿宋_GB2312"/>
          <w:sz w:val="32"/>
          <w:szCs w:val="32"/>
          <w:highlight w:val="none"/>
          <w:lang w:eastAsia="zh-CN"/>
        </w:rPr>
        <w:t>；</w:t>
      </w:r>
      <w:r>
        <w:rPr>
          <w:rFonts w:hint="eastAsia" w:ascii="仿宋_GB2312" w:hAnsi="仿宋_GB2312" w:eastAsia="仿宋_GB2312" w:cs="仿宋_GB2312"/>
          <w:b/>
          <w:bCs/>
          <w:sz w:val="32"/>
          <w:szCs w:val="32"/>
          <w:highlight w:val="none"/>
          <w:lang w:val="en-US" w:eastAsia="zh-CN"/>
        </w:rPr>
        <w:t>三是</w:t>
      </w:r>
      <w:r>
        <w:rPr>
          <w:rFonts w:hint="eastAsia" w:ascii="仿宋_GB2312" w:hAnsi="仿宋_GB2312" w:eastAsia="仿宋_GB2312" w:cs="仿宋_GB2312"/>
          <w:b w:val="0"/>
          <w:bCs w:val="0"/>
          <w:sz w:val="32"/>
          <w:szCs w:val="32"/>
          <w:highlight w:val="none"/>
          <w:lang w:val="en-US" w:eastAsia="zh-CN"/>
        </w:rPr>
        <w:t>积极开展政务新媒体清理工作，“药都林业”</w:t>
      </w:r>
      <w:r>
        <w:rPr>
          <w:rFonts w:hint="eastAsia" w:ascii="仿宋_GB2312" w:hAnsi="仿宋_GB2312" w:eastAsia="仿宋_GB2312" w:cs="仿宋_GB2312"/>
          <w:sz w:val="32"/>
          <w:szCs w:val="32"/>
          <w:highlight w:val="none"/>
          <w:lang w:val="en-US" w:eastAsia="zh-CN"/>
        </w:rPr>
        <w:t>微信公众号已按要求注销。</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default" w:ascii="楷体" w:hAnsi="楷体" w:eastAsia="楷体" w:cs="楷体"/>
          <w:b/>
          <w:bCs/>
          <w:sz w:val="32"/>
          <w:szCs w:val="32"/>
          <w:highlight w:val="none"/>
          <w:lang w:val="en-US" w:eastAsia="zh-CN"/>
        </w:rPr>
      </w:pPr>
      <w:r>
        <w:rPr>
          <w:rFonts w:hint="eastAsia" w:ascii="楷体" w:hAnsi="楷体" w:eastAsia="楷体" w:cs="楷体"/>
          <w:b/>
          <w:bCs/>
          <w:sz w:val="32"/>
          <w:szCs w:val="32"/>
          <w:highlight w:val="none"/>
          <w:lang w:val="en-US" w:eastAsia="zh-CN"/>
        </w:rPr>
        <w:t>（五）监督保障</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我局逐步健全政府信息公开工作机制，健全各项政府信息公开制度，指定专人负责信息公开工作，定期召开政府信息公开工作会议研究部署工作，始终坚持做好日常发布更新工作，在日常信息发布中，严格落实信息发布审核制度，认真审核拟发布信息。</w:t>
      </w:r>
    </w:p>
    <w:p>
      <w:pPr>
        <w:numPr>
          <w:ilvl w:val="0"/>
          <w:numId w:val="0"/>
        </w:numPr>
        <w:spacing w:line="540" w:lineRule="exact"/>
        <w:ind w:firstLine="640" w:firstLineChars="200"/>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lang w:eastAsia="zh-CN"/>
        </w:rPr>
        <w:t>二、</w:t>
      </w:r>
      <w:r>
        <w:rPr>
          <w:rFonts w:hint="eastAsia" w:ascii="黑体" w:hAnsi="黑体" w:eastAsia="黑体" w:cs="黑体"/>
          <w:b w:val="0"/>
          <w:bCs/>
          <w:color w:val="auto"/>
          <w:sz w:val="32"/>
          <w:szCs w:val="32"/>
        </w:rPr>
        <w:t>主动公开政府信息情况</w:t>
      </w:r>
    </w:p>
    <w:tbl>
      <w:tblPr>
        <w:tblStyle w:val="3"/>
        <w:tblW w:w="963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87"/>
        <w:gridCol w:w="2268"/>
        <w:gridCol w:w="2268"/>
        <w:gridCol w:w="25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39" w:type="dxa"/>
            <w:gridSpan w:val="4"/>
            <w:shd w:val="clear" w:color="auto" w:fill="auto"/>
          </w:tcPr>
          <w:p>
            <w:pPr>
              <w:spacing w:line="460" w:lineRule="exact"/>
              <w:jc w:val="center"/>
              <w:rPr>
                <w:rFonts w:ascii="仿宋" w:hAnsi="仿宋" w:eastAsia="仿宋" w:cs="仿宋"/>
                <w:color w:val="auto"/>
                <w:sz w:val="24"/>
              </w:rPr>
            </w:pPr>
            <w:r>
              <w:rPr>
                <w:rFonts w:hint="eastAsia" w:ascii="仿宋" w:hAnsi="仿宋" w:eastAsia="仿宋" w:cs="仿宋"/>
                <w:color w:val="auto"/>
                <w:sz w:val="24"/>
              </w:rPr>
              <w:t>第二十条第（一）项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87" w:type="dxa"/>
            <w:shd w:val="clear" w:color="auto" w:fill="auto"/>
          </w:tcPr>
          <w:p>
            <w:pPr>
              <w:spacing w:line="460" w:lineRule="exact"/>
              <w:jc w:val="center"/>
              <w:rPr>
                <w:rFonts w:ascii="仿宋" w:hAnsi="仿宋" w:eastAsia="仿宋" w:cs="仿宋"/>
                <w:color w:val="auto"/>
                <w:sz w:val="24"/>
              </w:rPr>
            </w:pPr>
            <w:r>
              <w:rPr>
                <w:rFonts w:hint="eastAsia" w:ascii="仿宋" w:hAnsi="仿宋" w:eastAsia="仿宋" w:cs="仿宋"/>
                <w:color w:val="auto"/>
                <w:sz w:val="24"/>
              </w:rPr>
              <w:t>信息内容</w:t>
            </w:r>
          </w:p>
        </w:tc>
        <w:tc>
          <w:tcPr>
            <w:tcW w:w="2268" w:type="dxa"/>
            <w:shd w:val="clear" w:color="auto" w:fill="auto"/>
          </w:tcPr>
          <w:p>
            <w:pPr>
              <w:spacing w:line="460" w:lineRule="exact"/>
              <w:jc w:val="center"/>
              <w:rPr>
                <w:rFonts w:hint="eastAsia" w:ascii="仿宋" w:hAnsi="仿宋" w:eastAsia="仿宋" w:cs="仿宋"/>
                <w:color w:val="auto"/>
                <w:sz w:val="24"/>
                <w:lang w:eastAsia="zh-CN"/>
              </w:rPr>
            </w:pPr>
            <w:r>
              <w:rPr>
                <w:rFonts w:hint="eastAsia" w:ascii="仿宋" w:hAnsi="仿宋" w:eastAsia="仿宋" w:cs="仿宋"/>
                <w:color w:val="auto"/>
                <w:sz w:val="24"/>
              </w:rPr>
              <w:t>本年</w:t>
            </w:r>
            <w:r>
              <w:rPr>
                <w:rFonts w:hint="eastAsia" w:ascii="仿宋" w:hAnsi="仿宋" w:eastAsia="仿宋" w:cs="仿宋"/>
                <w:color w:val="auto"/>
                <w:sz w:val="24"/>
                <w:lang w:val="en-US" w:eastAsia="zh-CN"/>
              </w:rPr>
              <w:t>制发件数</w:t>
            </w:r>
          </w:p>
        </w:tc>
        <w:tc>
          <w:tcPr>
            <w:tcW w:w="2268" w:type="dxa"/>
            <w:shd w:val="clear" w:color="auto" w:fill="auto"/>
          </w:tcPr>
          <w:p>
            <w:pPr>
              <w:spacing w:line="460" w:lineRule="exact"/>
              <w:jc w:val="center"/>
              <w:rPr>
                <w:rFonts w:hint="default" w:ascii="仿宋" w:hAnsi="仿宋" w:eastAsia="仿宋" w:cs="仿宋"/>
                <w:color w:val="auto"/>
                <w:sz w:val="24"/>
                <w:lang w:val="en-US" w:eastAsia="zh-CN"/>
              </w:rPr>
            </w:pPr>
            <w:r>
              <w:rPr>
                <w:rFonts w:hint="eastAsia" w:ascii="仿宋" w:hAnsi="仿宋" w:eastAsia="仿宋" w:cs="仿宋"/>
                <w:color w:val="auto"/>
                <w:sz w:val="24"/>
              </w:rPr>
              <w:t>本年</w:t>
            </w:r>
            <w:r>
              <w:rPr>
                <w:rFonts w:hint="eastAsia" w:ascii="仿宋" w:hAnsi="仿宋" w:eastAsia="仿宋" w:cs="仿宋"/>
                <w:color w:val="auto"/>
                <w:sz w:val="24"/>
                <w:lang w:val="en-US" w:eastAsia="zh-CN"/>
              </w:rPr>
              <w:t>废止件数</w:t>
            </w:r>
          </w:p>
        </w:tc>
        <w:tc>
          <w:tcPr>
            <w:tcW w:w="2516" w:type="dxa"/>
            <w:shd w:val="clear" w:color="auto" w:fill="auto"/>
          </w:tcPr>
          <w:p>
            <w:pPr>
              <w:spacing w:line="460" w:lineRule="exact"/>
              <w:jc w:val="center"/>
              <w:rPr>
                <w:rFonts w:hint="default" w:ascii="仿宋" w:hAnsi="仿宋" w:eastAsia="仿宋" w:cs="仿宋"/>
                <w:color w:val="auto"/>
                <w:sz w:val="24"/>
                <w:lang w:val="en-US" w:eastAsia="zh-CN"/>
              </w:rPr>
            </w:pPr>
            <w:r>
              <w:rPr>
                <w:rFonts w:hint="eastAsia" w:ascii="仿宋" w:hAnsi="仿宋" w:eastAsia="仿宋" w:cs="仿宋"/>
                <w:color w:val="auto"/>
                <w:sz w:val="24"/>
                <w:lang w:val="en-US" w:eastAsia="zh-CN"/>
              </w:rPr>
              <w:t>现行有效件数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87" w:type="dxa"/>
            <w:shd w:val="clear" w:color="auto" w:fill="auto"/>
            <w:vAlign w:val="center"/>
          </w:tcPr>
          <w:p>
            <w:pPr>
              <w:spacing w:line="460" w:lineRule="exact"/>
              <w:jc w:val="center"/>
              <w:rPr>
                <w:rFonts w:ascii="仿宋" w:hAnsi="仿宋" w:eastAsia="仿宋" w:cs="仿宋"/>
                <w:color w:val="auto"/>
                <w:sz w:val="24"/>
              </w:rPr>
            </w:pPr>
            <w:r>
              <w:rPr>
                <w:rFonts w:hint="eastAsia" w:ascii="仿宋" w:hAnsi="仿宋" w:eastAsia="仿宋" w:cs="仿宋"/>
                <w:color w:val="auto"/>
                <w:sz w:val="24"/>
              </w:rPr>
              <w:t>规    章</w:t>
            </w:r>
          </w:p>
        </w:tc>
        <w:tc>
          <w:tcPr>
            <w:tcW w:w="2268" w:type="dxa"/>
            <w:shd w:val="clear" w:color="auto" w:fill="auto"/>
          </w:tcPr>
          <w:p>
            <w:pPr>
              <w:spacing w:line="460" w:lineRule="exact"/>
              <w:jc w:val="center"/>
              <w:rPr>
                <w:rFonts w:hint="eastAsia" w:ascii="仿宋" w:hAnsi="仿宋" w:eastAsia="仿宋" w:cs="仿宋"/>
                <w:color w:val="auto"/>
                <w:szCs w:val="21"/>
                <w:lang w:eastAsia="zh-CN"/>
              </w:rPr>
            </w:pPr>
            <w:r>
              <w:rPr>
                <w:rFonts w:hint="eastAsia" w:ascii="仿宋" w:hAnsi="仿宋" w:eastAsia="仿宋" w:cs="仿宋"/>
                <w:color w:val="auto"/>
                <w:szCs w:val="21"/>
                <w:lang w:val="en-US" w:eastAsia="zh-CN"/>
              </w:rPr>
              <w:t>0</w:t>
            </w:r>
          </w:p>
        </w:tc>
        <w:tc>
          <w:tcPr>
            <w:tcW w:w="2268" w:type="dxa"/>
            <w:shd w:val="clear" w:color="auto" w:fill="auto"/>
          </w:tcPr>
          <w:p>
            <w:pPr>
              <w:spacing w:line="460" w:lineRule="exact"/>
              <w:jc w:val="center"/>
              <w:rPr>
                <w:rFonts w:hint="eastAsia" w:ascii="仿宋" w:hAnsi="仿宋" w:eastAsia="仿宋" w:cs="仿宋"/>
                <w:color w:val="auto"/>
                <w:szCs w:val="21"/>
                <w:lang w:eastAsia="zh-CN"/>
              </w:rPr>
            </w:pPr>
            <w:r>
              <w:rPr>
                <w:rFonts w:hint="eastAsia" w:ascii="仿宋" w:hAnsi="仿宋" w:eastAsia="仿宋" w:cs="仿宋"/>
                <w:color w:val="auto"/>
                <w:szCs w:val="21"/>
                <w:lang w:val="en-US" w:eastAsia="zh-CN"/>
              </w:rPr>
              <w:t>0</w:t>
            </w:r>
          </w:p>
        </w:tc>
        <w:tc>
          <w:tcPr>
            <w:tcW w:w="2516" w:type="dxa"/>
            <w:shd w:val="clear" w:color="auto" w:fill="auto"/>
          </w:tcPr>
          <w:p>
            <w:pPr>
              <w:spacing w:line="460" w:lineRule="exact"/>
              <w:jc w:val="center"/>
              <w:rPr>
                <w:rFonts w:hint="eastAsia" w:ascii="仿宋" w:hAnsi="仿宋" w:eastAsia="仿宋" w:cs="仿宋"/>
                <w:color w:val="auto"/>
                <w:szCs w:val="21"/>
                <w:lang w:eastAsia="zh-CN"/>
              </w:rPr>
            </w:pPr>
            <w:r>
              <w:rPr>
                <w:rFonts w:hint="eastAsia" w:ascii="仿宋" w:hAnsi="仿宋" w:eastAsia="仿宋" w:cs="仿宋"/>
                <w:color w:val="auto"/>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87" w:type="dxa"/>
            <w:shd w:val="clear" w:color="auto" w:fill="auto"/>
          </w:tcPr>
          <w:p>
            <w:pPr>
              <w:spacing w:line="460" w:lineRule="exact"/>
              <w:jc w:val="center"/>
              <w:rPr>
                <w:rFonts w:ascii="仿宋" w:hAnsi="仿宋" w:eastAsia="仿宋" w:cs="仿宋"/>
                <w:color w:val="auto"/>
                <w:sz w:val="24"/>
              </w:rPr>
            </w:pPr>
            <w:r>
              <w:rPr>
                <w:rFonts w:hint="eastAsia" w:ascii="仿宋" w:hAnsi="仿宋" w:eastAsia="仿宋" w:cs="仿宋"/>
                <w:color w:val="auto"/>
                <w:sz w:val="24"/>
              </w:rPr>
              <w:t>规范性文件</w:t>
            </w:r>
          </w:p>
        </w:tc>
        <w:tc>
          <w:tcPr>
            <w:tcW w:w="2268" w:type="dxa"/>
            <w:shd w:val="clear" w:color="auto" w:fill="auto"/>
          </w:tcPr>
          <w:p>
            <w:pPr>
              <w:spacing w:line="460" w:lineRule="exact"/>
              <w:jc w:val="center"/>
              <w:rPr>
                <w:rFonts w:hint="default" w:ascii="仿宋" w:hAnsi="仿宋" w:eastAsia="仿宋" w:cs="仿宋"/>
                <w:color w:val="auto"/>
                <w:szCs w:val="21"/>
                <w:lang w:val="en-US" w:eastAsia="zh-CN"/>
              </w:rPr>
            </w:pPr>
            <w:r>
              <w:rPr>
                <w:rFonts w:hint="eastAsia" w:ascii="仿宋" w:hAnsi="仿宋" w:eastAsia="仿宋" w:cs="仿宋"/>
                <w:color w:val="auto"/>
                <w:szCs w:val="21"/>
                <w:lang w:val="en-US" w:eastAsia="zh-CN"/>
              </w:rPr>
              <w:t>0</w:t>
            </w:r>
          </w:p>
        </w:tc>
        <w:tc>
          <w:tcPr>
            <w:tcW w:w="2268" w:type="dxa"/>
            <w:shd w:val="clear" w:color="auto" w:fill="auto"/>
          </w:tcPr>
          <w:p>
            <w:pPr>
              <w:spacing w:line="460" w:lineRule="exact"/>
              <w:jc w:val="center"/>
              <w:rPr>
                <w:rFonts w:hint="eastAsia" w:ascii="仿宋" w:hAnsi="仿宋" w:eastAsia="仿宋" w:cs="仿宋"/>
                <w:color w:val="auto"/>
                <w:szCs w:val="21"/>
                <w:lang w:eastAsia="zh-CN"/>
              </w:rPr>
            </w:pPr>
            <w:r>
              <w:rPr>
                <w:rFonts w:hint="eastAsia" w:ascii="仿宋" w:hAnsi="仿宋" w:eastAsia="仿宋" w:cs="仿宋"/>
                <w:color w:val="auto"/>
                <w:szCs w:val="21"/>
                <w:lang w:val="en-US" w:eastAsia="zh-CN"/>
              </w:rPr>
              <w:t>2</w:t>
            </w:r>
          </w:p>
        </w:tc>
        <w:tc>
          <w:tcPr>
            <w:tcW w:w="2516" w:type="dxa"/>
            <w:shd w:val="clear" w:color="auto" w:fill="auto"/>
          </w:tcPr>
          <w:p>
            <w:pPr>
              <w:spacing w:line="460" w:lineRule="exact"/>
              <w:jc w:val="center"/>
              <w:rPr>
                <w:rFonts w:hint="default" w:ascii="仿宋" w:hAnsi="仿宋" w:eastAsia="仿宋" w:cs="仿宋"/>
                <w:color w:val="auto"/>
                <w:szCs w:val="21"/>
                <w:lang w:val="en-US" w:eastAsia="zh-CN"/>
              </w:rPr>
            </w:pPr>
            <w:r>
              <w:rPr>
                <w:rFonts w:hint="eastAsia" w:ascii="仿宋" w:hAnsi="仿宋" w:eastAsia="仿宋" w:cs="仿宋"/>
                <w:color w:val="auto"/>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39" w:type="dxa"/>
            <w:gridSpan w:val="4"/>
            <w:shd w:val="clear" w:color="auto" w:fill="auto"/>
          </w:tcPr>
          <w:p>
            <w:pPr>
              <w:spacing w:line="460" w:lineRule="exact"/>
              <w:jc w:val="center"/>
              <w:rPr>
                <w:rFonts w:ascii="仿宋" w:hAnsi="仿宋" w:eastAsia="仿宋" w:cs="仿宋"/>
                <w:color w:val="auto"/>
                <w:sz w:val="24"/>
              </w:rPr>
            </w:pPr>
            <w:r>
              <w:rPr>
                <w:rFonts w:hint="eastAsia" w:ascii="仿宋" w:hAnsi="仿宋" w:eastAsia="仿宋" w:cs="仿宋"/>
                <w:color w:val="auto"/>
                <w:sz w:val="24"/>
              </w:rPr>
              <w:t>第二十条第（五）项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87" w:type="dxa"/>
            <w:shd w:val="clear" w:color="auto" w:fill="auto"/>
          </w:tcPr>
          <w:p>
            <w:pPr>
              <w:spacing w:line="460" w:lineRule="exact"/>
              <w:jc w:val="center"/>
              <w:rPr>
                <w:rFonts w:ascii="仿宋" w:hAnsi="仿宋" w:eastAsia="仿宋" w:cs="仿宋"/>
                <w:color w:val="auto"/>
                <w:sz w:val="24"/>
              </w:rPr>
            </w:pPr>
            <w:r>
              <w:rPr>
                <w:rFonts w:hint="eastAsia" w:ascii="仿宋" w:hAnsi="仿宋" w:eastAsia="仿宋" w:cs="仿宋"/>
                <w:color w:val="auto"/>
                <w:sz w:val="24"/>
              </w:rPr>
              <w:t>信息内容</w:t>
            </w:r>
          </w:p>
        </w:tc>
        <w:tc>
          <w:tcPr>
            <w:tcW w:w="7052" w:type="dxa"/>
            <w:gridSpan w:val="3"/>
            <w:shd w:val="clear" w:color="auto" w:fill="auto"/>
          </w:tcPr>
          <w:p>
            <w:pPr>
              <w:spacing w:line="460" w:lineRule="exact"/>
              <w:jc w:val="center"/>
              <w:rPr>
                <w:rFonts w:ascii="仿宋" w:hAnsi="仿宋" w:eastAsia="仿宋" w:cs="仿宋"/>
                <w:color w:val="auto"/>
                <w:sz w:val="24"/>
              </w:rPr>
            </w:pPr>
            <w:r>
              <w:rPr>
                <w:rFonts w:hint="eastAsia" w:ascii="仿宋" w:hAnsi="仿宋" w:eastAsia="仿宋" w:cs="仿宋"/>
                <w:color w:val="auto"/>
                <w:sz w:val="24"/>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87" w:type="dxa"/>
            <w:shd w:val="clear" w:color="auto" w:fill="auto"/>
          </w:tcPr>
          <w:p>
            <w:pPr>
              <w:spacing w:line="460" w:lineRule="exact"/>
              <w:jc w:val="center"/>
              <w:rPr>
                <w:rFonts w:ascii="仿宋" w:hAnsi="仿宋" w:eastAsia="仿宋" w:cs="仿宋"/>
                <w:color w:val="auto"/>
                <w:sz w:val="24"/>
              </w:rPr>
            </w:pPr>
            <w:r>
              <w:rPr>
                <w:rFonts w:hint="eastAsia" w:ascii="仿宋" w:hAnsi="仿宋" w:eastAsia="仿宋" w:cs="仿宋"/>
                <w:color w:val="auto"/>
                <w:sz w:val="24"/>
              </w:rPr>
              <w:t>行政许可</w:t>
            </w:r>
          </w:p>
        </w:tc>
        <w:tc>
          <w:tcPr>
            <w:tcW w:w="7052" w:type="dxa"/>
            <w:gridSpan w:val="3"/>
            <w:shd w:val="clear" w:color="auto" w:fill="auto"/>
          </w:tcPr>
          <w:p>
            <w:pPr>
              <w:spacing w:line="460" w:lineRule="exact"/>
              <w:jc w:val="center"/>
              <w:rPr>
                <w:rFonts w:hint="default" w:ascii="仿宋" w:hAnsi="仿宋" w:eastAsia="仿宋" w:cs="仿宋"/>
                <w:color w:val="auto"/>
                <w:szCs w:val="21"/>
                <w:lang w:val="en-US" w:eastAsia="zh-CN"/>
              </w:rPr>
            </w:pPr>
            <w:r>
              <w:rPr>
                <w:rFonts w:hint="eastAsia" w:ascii="仿宋" w:hAnsi="仿宋" w:eastAsia="仿宋" w:cs="仿宋"/>
                <w:color w:val="auto"/>
                <w:szCs w:val="21"/>
                <w:lang w:val="en-US" w:eastAsia="zh-CN"/>
              </w:rPr>
              <w:t>200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39" w:type="dxa"/>
            <w:gridSpan w:val="4"/>
            <w:shd w:val="clear" w:color="auto" w:fill="auto"/>
          </w:tcPr>
          <w:p>
            <w:pPr>
              <w:spacing w:line="460" w:lineRule="exact"/>
              <w:jc w:val="center"/>
              <w:rPr>
                <w:rFonts w:ascii="仿宋" w:hAnsi="仿宋" w:eastAsia="仿宋" w:cs="仿宋"/>
                <w:color w:val="auto"/>
                <w:sz w:val="24"/>
              </w:rPr>
            </w:pPr>
            <w:r>
              <w:rPr>
                <w:rFonts w:hint="eastAsia" w:ascii="仿宋" w:hAnsi="仿宋" w:eastAsia="仿宋" w:cs="仿宋"/>
                <w:color w:val="auto"/>
                <w:sz w:val="24"/>
              </w:rPr>
              <w:t>第二十条第（六）项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87" w:type="dxa"/>
            <w:shd w:val="clear" w:color="auto" w:fill="auto"/>
          </w:tcPr>
          <w:p>
            <w:pPr>
              <w:spacing w:line="460" w:lineRule="exact"/>
              <w:jc w:val="center"/>
              <w:rPr>
                <w:rFonts w:ascii="仿宋" w:hAnsi="仿宋" w:eastAsia="仿宋" w:cs="仿宋"/>
                <w:color w:val="auto"/>
                <w:sz w:val="24"/>
              </w:rPr>
            </w:pPr>
            <w:r>
              <w:rPr>
                <w:rFonts w:hint="eastAsia" w:ascii="仿宋" w:hAnsi="仿宋" w:eastAsia="仿宋" w:cs="仿宋"/>
                <w:color w:val="auto"/>
                <w:sz w:val="24"/>
              </w:rPr>
              <w:t>信息内容</w:t>
            </w:r>
          </w:p>
        </w:tc>
        <w:tc>
          <w:tcPr>
            <w:tcW w:w="7052" w:type="dxa"/>
            <w:gridSpan w:val="3"/>
            <w:shd w:val="clear" w:color="auto" w:fill="auto"/>
            <w:vAlign w:val="top"/>
          </w:tcPr>
          <w:p>
            <w:pPr>
              <w:spacing w:line="460" w:lineRule="exact"/>
              <w:jc w:val="center"/>
              <w:rPr>
                <w:rFonts w:ascii="仿宋" w:hAnsi="仿宋" w:eastAsia="仿宋" w:cs="仿宋"/>
                <w:color w:val="auto"/>
                <w:sz w:val="24"/>
              </w:rPr>
            </w:pPr>
            <w:r>
              <w:rPr>
                <w:rFonts w:hint="eastAsia" w:ascii="仿宋" w:hAnsi="仿宋" w:eastAsia="仿宋" w:cs="仿宋"/>
                <w:color w:val="auto"/>
                <w:sz w:val="24"/>
              </w:rPr>
              <w:t>本年处理决定数量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87" w:type="dxa"/>
            <w:shd w:val="clear" w:color="auto" w:fill="auto"/>
          </w:tcPr>
          <w:p>
            <w:pPr>
              <w:spacing w:line="460" w:lineRule="exact"/>
              <w:jc w:val="center"/>
              <w:rPr>
                <w:rFonts w:ascii="仿宋" w:hAnsi="仿宋" w:eastAsia="仿宋" w:cs="仿宋"/>
                <w:color w:val="auto"/>
                <w:sz w:val="24"/>
              </w:rPr>
            </w:pPr>
            <w:r>
              <w:rPr>
                <w:rFonts w:hint="eastAsia" w:ascii="仿宋" w:hAnsi="仿宋" w:eastAsia="仿宋" w:cs="仿宋"/>
                <w:color w:val="auto"/>
                <w:sz w:val="24"/>
              </w:rPr>
              <w:t>行政处罚</w:t>
            </w:r>
          </w:p>
        </w:tc>
        <w:tc>
          <w:tcPr>
            <w:tcW w:w="7052" w:type="dxa"/>
            <w:gridSpan w:val="3"/>
            <w:shd w:val="clear" w:color="auto" w:fill="auto"/>
            <w:vAlign w:val="top"/>
          </w:tcPr>
          <w:p>
            <w:pPr>
              <w:spacing w:line="460" w:lineRule="exact"/>
              <w:jc w:val="center"/>
              <w:rPr>
                <w:rFonts w:hint="default" w:ascii="仿宋" w:hAnsi="仿宋" w:eastAsia="仿宋" w:cs="仿宋"/>
                <w:color w:val="auto"/>
                <w:szCs w:val="21"/>
                <w:lang w:val="en-US" w:eastAsia="zh-CN"/>
              </w:rPr>
            </w:pPr>
            <w:r>
              <w:rPr>
                <w:rFonts w:hint="eastAsia" w:ascii="仿宋" w:hAnsi="仿宋" w:eastAsia="仿宋" w:cs="仿宋"/>
                <w:color w:val="auto"/>
                <w:szCs w:val="21"/>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87" w:type="dxa"/>
            <w:shd w:val="clear" w:color="auto" w:fill="auto"/>
          </w:tcPr>
          <w:p>
            <w:pPr>
              <w:spacing w:line="460" w:lineRule="exact"/>
              <w:jc w:val="center"/>
              <w:rPr>
                <w:rFonts w:ascii="仿宋" w:hAnsi="仿宋" w:eastAsia="仿宋" w:cs="仿宋"/>
                <w:color w:val="auto"/>
                <w:sz w:val="24"/>
              </w:rPr>
            </w:pPr>
            <w:r>
              <w:rPr>
                <w:rFonts w:hint="eastAsia" w:ascii="仿宋" w:hAnsi="仿宋" w:eastAsia="仿宋" w:cs="仿宋"/>
                <w:color w:val="auto"/>
                <w:sz w:val="24"/>
              </w:rPr>
              <w:t>行政强制</w:t>
            </w:r>
          </w:p>
        </w:tc>
        <w:tc>
          <w:tcPr>
            <w:tcW w:w="7052" w:type="dxa"/>
            <w:gridSpan w:val="3"/>
            <w:shd w:val="clear" w:color="auto" w:fill="auto"/>
          </w:tcPr>
          <w:p>
            <w:pPr>
              <w:spacing w:line="460" w:lineRule="exact"/>
              <w:jc w:val="center"/>
              <w:rPr>
                <w:rFonts w:hint="eastAsia" w:ascii="仿宋" w:hAnsi="仿宋" w:eastAsia="仿宋" w:cs="仿宋"/>
                <w:color w:val="auto"/>
                <w:szCs w:val="21"/>
                <w:lang w:eastAsia="zh-CN"/>
              </w:rPr>
            </w:pPr>
            <w:r>
              <w:rPr>
                <w:rFonts w:hint="eastAsia" w:ascii="仿宋" w:hAnsi="仿宋" w:eastAsia="仿宋" w:cs="仿宋"/>
                <w:color w:val="auto"/>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639" w:type="dxa"/>
            <w:gridSpan w:val="4"/>
            <w:shd w:val="clear" w:color="auto" w:fill="auto"/>
          </w:tcPr>
          <w:p>
            <w:pPr>
              <w:spacing w:line="460" w:lineRule="exact"/>
              <w:jc w:val="center"/>
              <w:rPr>
                <w:rFonts w:ascii="仿宋" w:hAnsi="仿宋" w:eastAsia="仿宋" w:cs="仿宋"/>
                <w:color w:val="auto"/>
                <w:sz w:val="24"/>
              </w:rPr>
            </w:pPr>
            <w:r>
              <w:rPr>
                <w:rFonts w:hint="eastAsia" w:ascii="仿宋" w:hAnsi="仿宋" w:eastAsia="仿宋" w:cs="仿宋"/>
                <w:color w:val="auto"/>
                <w:sz w:val="24"/>
              </w:rPr>
              <w:t>第二十条第（八）项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87" w:type="dxa"/>
            <w:shd w:val="clear" w:color="auto" w:fill="auto"/>
          </w:tcPr>
          <w:p>
            <w:pPr>
              <w:spacing w:line="460" w:lineRule="exact"/>
              <w:jc w:val="center"/>
              <w:rPr>
                <w:rFonts w:ascii="仿宋" w:hAnsi="仿宋" w:eastAsia="仿宋" w:cs="仿宋"/>
                <w:color w:val="auto"/>
                <w:sz w:val="24"/>
              </w:rPr>
            </w:pPr>
            <w:r>
              <w:rPr>
                <w:rFonts w:hint="eastAsia" w:ascii="仿宋" w:hAnsi="仿宋" w:eastAsia="仿宋" w:cs="仿宋"/>
                <w:color w:val="auto"/>
                <w:sz w:val="24"/>
              </w:rPr>
              <w:t>信息内容</w:t>
            </w:r>
          </w:p>
        </w:tc>
        <w:tc>
          <w:tcPr>
            <w:tcW w:w="7052" w:type="dxa"/>
            <w:gridSpan w:val="3"/>
            <w:shd w:val="clear" w:color="auto" w:fill="auto"/>
          </w:tcPr>
          <w:p>
            <w:pPr>
              <w:spacing w:line="460" w:lineRule="exact"/>
              <w:jc w:val="center"/>
              <w:rPr>
                <w:rFonts w:hint="default" w:ascii="仿宋" w:hAnsi="仿宋" w:eastAsia="仿宋" w:cs="仿宋"/>
                <w:color w:val="auto"/>
                <w:sz w:val="24"/>
                <w:lang w:val="en-US" w:eastAsia="zh-CN"/>
              </w:rPr>
            </w:pPr>
            <w:r>
              <w:rPr>
                <w:rFonts w:hint="eastAsia" w:ascii="仿宋" w:hAnsi="仿宋" w:eastAsia="仿宋" w:cs="仿宋"/>
                <w:color w:val="auto"/>
                <w:sz w:val="24"/>
                <w:lang w:val="en-US" w:eastAsia="zh-CN"/>
              </w:rPr>
              <w:t>本年收费金额（单位;万元）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587" w:type="dxa"/>
            <w:shd w:val="clear" w:color="auto" w:fill="auto"/>
          </w:tcPr>
          <w:p>
            <w:pPr>
              <w:spacing w:line="460" w:lineRule="exact"/>
              <w:jc w:val="center"/>
              <w:rPr>
                <w:rFonts w:ascii="仿宋" w:hAnsi="仿宋" w:eastAsia="仿宋" w:cs="仿宋"/>
                <w:color w:val="auto"/>
                <w:sz w:val="24"/>
              </w:rPr>
            </w:pPr>
            <w:r>
              <w:rPr>
                <w:rFonts w:hint="eastAsia" w:ascii="仿宋" w:hAnsi="仿宋" w:eastAsia="仿宋" w:cs="仿宋"/>
                <w:color w:val="auto"/>
                <w:sz w:val="24"/>
              </w:rPr>
              <w:t>行政事业性收费</w:t>
            </w:r>
          </w:p>
        </w:tc>
        <w:tc>
          <w:tcPr>
            <w:tcW w:w="7052" w:type="dxa"/>
            <w:gridSpan w:val="3"/>
            <w:shd w:val="clear" w:color="auto" w:fill="auto"/>
          </w:tcPr>
          <w:p>
            <w:pPr>
              <w:spacing w:line="460" w:lineRule="exact"/>
              <w:jc w:val="center"/>
              <w:rPr>
                <w:rFonts w:hint="eastAsia" w:ascii="仿宋" w:hAnsi="仿宋" w:eastAsia="仿宋" w:cs="仿宋"/>
                <w:color w:val="auto"/>
                <w:szCs w:val="21"/>
                <w:lang w:eastAsia="zh-CN"/>
              </w:rPr>
            </w:pPr>
            <w:r>
              <w:rPr>
                <w:rFonts w:hint="eastAsia" w:ascii="仿宋" w:hAnsi="仿宋" w:eastAsia="仿宋" w:cs="仿宋"/>
                <w:color w:val="auto"/>
                <w:szCs w:val="21"/>
                <w:lang w:val="en-US" w:eastAsia="zh-CN"/>
              </w:rPr>
              <w:t>0</w:t>
            </w:r>
          </w:p>
        </w:tc>
      </w:tr>
    </w:tbl>
    <w:p>
      <w:pPr>
        <w:numPr>
          <w:ilvl w:val="0"/>
          <w:numId w:val="0"/>
        </w:numPr>
        <w:spacing w:line="540" w:lineRule="exact"/>
        <w:ind w:firstLine="640" w:firstLineChars="200"/>
        <w:rPr>
          <w:rFonts w:hint="eastAsia" w:ascii="黑体" w:hAnsi="黑体" w:eastAsia="黑体" w:cs="黑体"/>
          <w:b w:val="0"/>
          <w:bCs/>
          <w:color w:val="auto"/>
          <w:sz w:val="32"/>
          <w:szCs w:val="32"/>
        </w:rPr>
      </w:pPr>
      <w:r>
        <w:rPr>
          <w:rFonts w:hint="eastAsia" w:ascii="黑体" w:hAnsi="黑体" w:eastAsia="黑体" w:cs="黑体"/>
          <w:b w:val="0"/>
          <w:bCs/>
          <w:color w:val="auto"/>
          <w:sz w:val="32"/>
          <w:szCs w:val="32"/>
          <w:lang w:eastAsia="zh-CN"/>
        </w:rPr>
        <w:t>三、</w:t>
      </w:r>
      <w:r>
        <w:rPr>
          <w:rFonts w:hint="eastAsia" w:ascii="黑体" w:hAnsi="黑体" w:eastAsia="黑体" w:cs="黑体"/>
          <w:b w:val="0"/>
          <w:bCs/>
          <w:color w:val="auto"/>
          <w:sz w:val="32"/>
          <w:szCs w:val="32"/>
        </w:rPr>
        <w:t>收到和处理政府信息公开申请情况</w:t>
      </w:r>
    </w:p>
    <w:tbl>
      <w:tblPr>
        <w:tblStyle w:val="3"/>
        <w:tblW w:w="99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50"/>
        <w:gridCol w:w="1155"/>
        <w:gridCol w:w="2047"/>
        <w:gridCol w:w="737"/>
        <w:gridCol w:w="737"/>
        <w:gridCol w:w="737"/>
        <w:gridCol w:w="980"/>
        <w:gridCol w:w="1005"/>
        <w:gridCol w:w="737"/>
        <w:gridCol w:w="7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52" w:type="dxa"/>
            <w:gridSpan w:val="3"/>
            <w:vMerge w:val="restart"/>
            <w:shd w:val="clear" w:color="auto" w:fill="auto"/>
            <w:vAlign w:val="center"/>
          </w:tcPr>
          <w:p>
            <w:pPr>
              <w:spacing w:line="300" w:lineRule="exact"/>
              <w:jc w:val="center"/>
              <w:rPr>
                <w:rFonts w:hint="eastAsia" w:ascii="仿宋" w:hAnsi="仿宋" w:eastAsia="仿宋" w:cs="仿宋"/>
                <w:color w:val="auto"/>
                <w:sz w:val="24"/>
                <w:szCs w:val="24"/>
              </w:rPr>
            </w:pPr>
            <w:r>
              <w:rPr>
                <w:rFonts w:hint="eastAsia" w:ascii="仿宋" w:hAnsi="仿宋" w:eastAsia="仿宋" w:cs="仿宋"/>
                <w:color w:val="auto"/>
                <w:sz w:val="24"/>
                <w:szCs w:val="24"/>
              </w:rPr>
              <w:t>本列数据的勾稽关系为：第一项加第二项之和，等于第三项加第四项之和</w:t>
            </w:r>
          </w:p>
        </w:tc>
        <w:tc>
          <w:tcPr>
            <w:tcW w:w="5670" w:type="dxa"/>
            <w:gridSpan w:val="7"/>
            <w:shd w:val="clear" w:color="auto" w:fill="auto"/>
            <w:vAlign w:val="center"/>
          </w:tcPr>
          <w:p>
            <w:pPr>
              <w:spacing w:line="300" w:lineRule="exact"/>
              <w:jc w:val="center"/>
              <w:rPr>
                <w:rFonts w:ascii="仿宋" w:hAnsi="仿宋" w:eastAsia="仿宋" w:cs="仿宋"/>
                <w:color w:val="auto"/>
                <w:sz w:val="24"/>
                <w:szCs w:val="24"/>
              </w:rPr>
            </w:pPr>
            <w:r>
              <w:rPr>
                <w:rFonts w:hint="eastAsia" w:ascii="仿宋" w:hAnsi="仿宋" w:eastAsia="仿宋" w:cs="仿宋"/>
                <w:color w:val="auto"/>
                <w:sz w:val="24"/>
                <w:szCs w:val="24"/>
              </w:rPr>
              <w:t>申请人情况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52" w:type="dxa"/>
            <w:gridSpan w:val="3"/>
            <w:vMerge w:val="continue"/>
            <w:shd w:val="clear" w:color="auto" w:fill="auto"/>
            <w:vAlign w:val="center"/>
          </w:tcPr>
          <w:p>
            <w:pPr>
              <w:spacing w:line="300" w:lineRule="exact"/>
              <w:jc w:val="center"/>
              <w:rPr>
                <w:rFonts w:hint="eastAsia" w:ascii="仿宋" w:hAnsi="仿宋" w:eastAsia="仿宋" w:cs="仿宋"/>
                <w:color w:val="auto"/>
                <w:sz w:val="24"/>
                <w:szCs w:val="24"/>
              </w:rPr>
            </w:pPr>
          </w:p>
        </w:tc>
        <w:tc>
          <w:tcPr>
            <w:tcW w:w="4933" w:type="dxa"/>
            <w:gridSpan w:val="6"/>
            <w:shd w:val="clear" w:color="auto" w:fill="auto"/>
            <w:vAlign w:val="center"/>
          </w:tcPr>
          <w:p>
            <w:pPr>
              <w:spacing w:line="300" w:lineRule="exact"/>
              <w:jc w:val="center"/>
              <w:rPr>
                <w:rFonts w:ascii="仿宋" w:hAnsi="仿宋" w:eastAsia="仿宋" w:cs="仿宋"/>
                <w:color w:val="auto"/>
                <w:sz w:val="24"/>
                <w:szCs w:val="24"/>
              </w:rPr>
            </w:pPr>
            <w:r>
              <w:rPr>
                <w:rFonts w:hint="eastAsia" w:ascii="仿宋" w:hAnsi="仿宋" w:eastAsia="仿宋" w:cs="仿宋"/>
                <w:color w:val="auto"/>
                <w:sz w:val="24"/>
                <w:szCs w:val="24"/>
              </w:rPr>
              <w:t>法人或其他组织</w:t>
            </w:r>
          </w:p>
        </w:tc>
        <w:tc>
          <w:tcPr>
            <w:tcW w:w="737" w:type="dxa"/>
            <w:shd w:val="clear" w:color="auto" w:fill="auto"/>
            <w:vAlign w:val="center"/>
          </w:tcPr>
          <w:p>
            <w:pPr>
              <w:spacing w:line="300" w:lineRule="exact"/>
              <w:jc w:val="center"/>
              <w:rPr>
                <w:rFonts w:ascii="仿宋" w:hAnsi="仿宋" w:eastAsia="仿宋" w:cs="仿宋"/>
                <w:color w:val="auto"/>
                <w:sz w:val="24"/>
                <w:szCs w:val="24"/>
              </w:rPr>
            </w:pPr>
            <w:r>
              <w:rPr>
                <w:rFonts w:hint="eastAsia" w:ascii="仿宋" w:hAnsi="仿宋" w:eastAsia="仿宋" w:cs="仿宋"/>
                <w:color w:val="auto"/>
                <w:sz w:val="24"/>
                <w:szCs w:val="24"/>
              </w:rPr>
              <w:t>合计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4252" w:type="dxa"/>
            <w:gridSpan w:val="3"/>
            <w:vMerge w:val="continue"/>
            <w:shd w:val="clear" w:color="auto" w:fill="auto"/>
            <w:vAlign w:val="center"/>
          </w:tcPr>
          <w:p>
            <w:pPr>
              <w:spacing w:line="300" w:lineRule="exact"/>
              <w:jc w:val="center"/>
              <w:rPr>
                <w:rFonts w:ascii="仿宋" w:hAnsi="仿宋" w:eastAsia="仿宋" w:cs="仿宋"/>
                <w:color w:val="auto"/>
                <w:sz w:val="24"/>
                <w:szCs w:val="24"/>
              </w:rPr>
            </w:pPr>
          </w:p>
        </w:tc>
        <w:tc>
          <w:tcPr>
            <w:tcW w:w="737" w:type="dxa"/>
            <w:shd w:val="clear" w:color="auto" w:fill="auto"/>
            <w:vAlign w:val="center"/>
          </w:tcPr>
          <w:p>
            <w:pPr>
              <w:spacing w:line="300" w:lineRule="exact"/>
              <w:jc w:val="center"/>
              <w:rPr>
                <w:rFonts w:hint="eastAsia" w:ascii="仿宋" w:hAnsi="仿宋" w:eastAsia="仿宋" w:cs="仿宋"/>
                <w:color w:val="auto"/>
                <w:sz w:val="24"/>
                <w:szCs w:val="24"/>
              </w:rPr>
            </w:pPr>
            <w:r>
              <w:rPr>
                <w:rFonts w:hint="eastAsia" w:ascii="仿宋" w:hAnsi="仿宋" w:eastAsia="仿宋" w:cs="仿宋"/>
                <w:color w:val="auto"/>
                <w:sz w:val="24"/>
                <w:szCs w:val="24"/>
              </w:rPr>
              <w:t>自然人</w:t>
            </w:r>
          </w:p>
        </w:tc>
        <w:tc>
          <w:tcPr>
            <w:tcW w:w="737" w:type="dxa"/>
            <w:shd w:val="clear" w:color="auto" w:fill="auto"/>
            <w:vAlign w:val="center"/>
          </w:tcPr>
          <w:p>
            <w:pPr>
              <w:spacing w:line="300" w:lineRule="exact"/>
              <w:jc w:val="center"/>
              <w:rPr>
                <w:rFonts w:ascii="仿宋" w:hAnsi="仿宋" w:eastAsia="仿宋" w:cs="仿宋"/>
                <w:color w:val="auto"/>
                <w:sz w:val="24"/>
                <w:szCs w:val="24"/>
              </w:rPr>
            </w:pPr>
            <w:r>
              <w:rPr>
                <w:rFonts w:hint="eastAsia" w:ascii="仿宋" w:hAnsi="仿宋" w:eastAsia="仿宋" w:cs="仿宋"/>
                <w:color w:val="auto"/>
                <w:sz w:val="24"/>
                <w:szCs w:val="24"/>
              </w:rPr>
              <w:t>商业</w:t>
            </w:r>
          </w:p>
          <w:p>
            <w:pPr>
              <w:spacing w:line="300" w:lineRule="exact"/>
              <w:jc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rPr>
              <w:t>企业</w:t>
            </w:r>
          </w:p>
        </w:tc>
        <w:tc>
          <w:tcPr>
            <w:tcW w:w="737" w:type="dxa"/>
            <w:shd w:val="clear" w:color="auto" w:fill="auto"/>
            <w:vAlign w:val="center"/>
          </w:tcPr>
          <w:p>
            <w:pPr>
              <w:spacing w:line="300" w:lineRule="exact"/>
              <w:jc w:val="center"/>
              <w:rPr>
                <w:rFonts w:ascii="仿宋" w:hAnsi="仿宋" w:eastAsia="仿宋" w:cs="仿宋"/>
                <w:color w:val="auto"/>
                <w:sz w:val="24"/>
                <w:szCs w:val="24"/>
              </w:rPr>
            </w:pPr>
            <w:r>
              <w:rPr>
                <w:rFonts w:hint="eastAsia" w:ascii="仿宋" w:hAnsi="仿宋" w:eastAsia="仿宋" w:cs="仿宋"/>
                <w:color w:val="auto"/>
                <w:sz w:val="24"/>
                <w:szCs w:val="24"/>
              </w:rPr>
              <w:t>科研</w:t>
            </w:r>
          </w:p>
          <w:p>
            <w:pPr>
              <w:spacing w:line="300" w:lineRule="exact"/>
              <w:jc w:val="center"/>
              <w:rPr>
                <w:rFonts w:ascii="仿宋" w:hAnsi="仿宋" w:eastAsia="仿宋" w:cs="仿宋"/>
                <w:color w:val="auto"/>
                <w:sz w:val="24"/>
                <w:szCs w:val="24"/>
              </w:rPr>
            </w:pPr>
            <w:r>
              <w:rPr>
                <w:rFonts w:hint="eastAsia" w:ascii="仿宋" w:hAnsi="仿宋" w:eastAsia="仿宋" w:cs="仿宋"/>
                <w:color w:val="auto"/>
                <w:sz w:val="24"/>
                <w:szCs w:val="24"/>
              </w:rPr>
              <w:t>机构</w:t>
            </w:r>
          </w:p>
        </w:tc>
        <w:tc>
          <w:tcPr>
            <w:tcW w:w="980" w:type="dxa"/>
            <w:shd w:val="clear" w:color="auto" w:fill="auto"/>
            <w:vAlign w:val="center"/>
          </w:tcPr>
          <w:p>
            <w:pPr>
              <w:spacing w:line="300" w:lineRule="exact"/>
              <w:jc w:val="center"/>
              <w:rPr>
                <w:rFonts w:ascii="仿宋" w:hAnsi="仿宋" w:eastAsia="仿宋" w:cs="仿宋"/>
                <w:color w:val="auto"/>
                <w:sz w:val="24"/>
                <w:szCs w:val="24"/>
              </w:rPr>
            </w:pPr>
            <w:r>
              <w:rPr>
                <w:rFonts w:hint="eastAsia" w:ascii="仿宋" w:hAnsi="仿宋" w:eastAsia="仿宋" w:cs="仿宋"/>
                <w:color w:val="auto"/>
                <w:sz w:val="24"/>
                <w:szCs w:val="24"/>
              </w:rPr>
              <w:t>社会公益组织</w:t>
            </w:r>
          </w:p>
        </w:tc>
        <w:tc>
          <w:tcPr>
            <w:tcW w:w="1005" w:type="dxa"/>
            <w:shd w:val="clear" w:color="auto" w:fill="auto"/>
            <w:vAlign w:val="center"/>
          </w:tcPr>
          <w:p>
            <w:pPr>
              <w:spacing w:line="300" w:lineRule="exact"/>
              <w:jc w:val="center"/>
              <w:rPr>
                <w:rFonts w:ascii="仿宋" w:hAnsi="仿宋" w:eastAsia="仿宋" w:cs="仿宋"/>
                <w:color w:val="auto"/>
                <w:sz w:val="24"/>
                <w:szCs w:val="24"/>
              </w:rPr>
            </w:pPr>
            <w:r>
              <w:rPr>
                <w:rFonts w:hint="eastAsia" w:ascii="仿宋" w:hAnsi="仿宋" w:eastAsia="仿宋" w:cs="仿宋"/>
                <w:color w:val="auto"/>
                <w:sz w:val="24"/>
                <w:szCs w:val="24"/>
              </w:rPr>
              <w:t>法律服务机构</w:t>
            </w:r>
          </w:p>
        </w:tc>
        <w:tc>
          <w:tcPr>
            <w:tcW w:w="737" w:type="dxa"/>
            <w:shd w:val="clear" w:color="auto" w:fill="auto"/>
            <w:vAlign w:val="center"/>
          </w:tcPr>
          <w:p>
            <w:pPr>
              <w:spacing w:line="300" w:lineRule="exact"/>
              <w:jc w:val="center"/>
              <w:rPr>
                <w:rFonts w:ascii="仿宋" w:hAnsi="仿宋" w:eastAsia="仿宋" w:cs="仿宋"/>
                <w:color w:val="auto"/>
                <w:sz w:val="24"/>
                <w:szCs w:val="24"/>
              </w:rPr>
            </w:pPr>
            <w:r>
              <w:rPr>
                <w:rFonts w:hint="eastAsia" w:ascii="仿宋" w:hAnsi="仿宋" w:eastAsia="仿宋" w:cs="仿宋"/>
                <w:color w:val="auto"/>
                <w:sz w:val="24"/>
                <w:szCs w:val="24"/>
              </w:rPr>
              <w:t>其他</w:t>
            </w:r>
          </w:p>
        </w:tc>
        <w:tc>
          <w:tcPr>
            <w:tcW w:w="737" w:type="dxa"/>
            <w:shd w:val="clear" w:color="auto" w:fill="auto"/>
            <w:vAlign w:val="center"/>
          </w:tcPr>
          <w:p>
            <w:pPr>
              <w:spacing w:line="300" w:lineRule="exact"/>
              <w:jc w:val="center"/>
              <w:rPr>
                <w:rFonts w:ascii="仿宋" w:hAnsi="仿宋" w:eastAsia="仿宋" w:cs="仿宋"/>
                <w:color w:val="auto"/>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52" w:type="dxa"/>
            <w:gridSpan w:val="3"/>
            <w:shd w:val="clear" w:color="auto" w:fill="auto"/>
          </w:tcPr>
          <w:p>
            <w:pPr>
              <w:spacing w:line="300" w:lineRule="exact"/>
              <w:jc w:val="center"/>
              <w:rPr>
                <w:rFonts w:hint="eastAsia" w:ascii="仿宋" w:hAnsi="仿宋" w:eastAsia="仿宋" w:cs="仿宋"/>
                <w:color w:val="auto"/>
                <w:sz w:val="24"/>
                <w:szCs w:val="24"/>
                <w:lang w:val="en-US" w:eastAsia="zh-CN"/>
              </w:rPr>
            </w:pPr>
            <w:r>
              <w:rPr>
                <w:rFonts w:hint="eastAsia" w:ascii="仿宋" w:hAnsi="仿宋" w:eastAsia="仿宋" w:cs="仿宋"/>
                <w:b/>
                <w:color w:val="auto"/>
                <w:sz w:val="24"/>
                <w:szCs w:val="24"/>
              </w:rPr>
              <w:t>一</w:t>
            </w:r>
            <w:r>
              <w:rPr>
                <w:rFonts w:hint="eastAsia" w:ascii="仿宋" w:hAnsi="仿宋" w:eastAsia="仿宋" w:cs="仿宋"/>
                <w:color w:val="auto"/>
                <w:sz w:val="24"/>
                <w:szCs w:val="24"/>
              </w:rPr>
              <w:t>、本年新收政府信息公开申请数量</w:t>
            </w:r>
          </w:p>
        </w:tc>
        <w:tc>
          <w:tcPr>
            <w:tcW w:w="737" w:type="dxa"/>
            <w:shd w:val="clear" w:color="auto" w:fill="auto"/>
            <w:vAlign w:val="top"/>
          </w:tcPr>
          <w:p>
            <w:pPr>
              <w:spacing w:line="300" w:lineRule="exact"/>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0</w:t>
            </w:r>
          </w:p>
        </w:tc>
        <w:tc>
          <w:tcPr>
            <w:tcW w:w="737" w:type="dxa"/>
            <w:shd w:val="clear" w:color="auto" w:fill="auto"/>
            <w:vAlign w:val="top"/>
          </w:tcPr>
          <w:p>
            <w:pPr>
              <w:spacing w:line="300" w:lineRule="exact"/>
              <w:jc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val="en-US" w:eastAsia="zh-CN"/>
              </w:rPr>
              <w:t>0</w:t>
            </w:r>
          </w:p>
        </w:tc>
        <w:tc>
          <w:tcPr>
            <w:tcW w:w="737" w:type="dxa"/>
            <w:shd w:val="clear" w:color="auto" w:fill="auto"/>
          </w:tcPr>
          <w:p>
            <w:pPr>
              <w:spacing w:line="300" w:lineRule="exact"/>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0</w:t>
            </w:r>
          </w:p>
        </w:tc>
        <w:tc>
          <w:tcPr>
            <w:tcW w:w="980" w:type="dxa"/>
            <w:shd w:val="clear" w:color="auto" w:fill="auto"/>
          </w:tcPr>
          <w:p>
            <w:pPr>
              <w:spacing w:line="300" w:lineRule="exact"/>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0</w:t>
            </w:r>
          </w:p>
        </w:tc>
        <w:tc>
          <w:tcPr>
            <w:tcW w:w="1005" w:type="dxa"/>
            <w:shd w:val="clear" w:color="auto" w:fill="auto"/>
          </w:tcPr>
          <w:p>
            <w:pPr>
              <w:spacing w:line="300" w:lineRule="exact"/>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0</w:t>
            </w:r>
          </w:p>
        </w:tc>
        <w:tc>
          <w:tcPr>
            <w:tcW w:w="737" w:type="dxa"/>
            <w:shd w:val="clear" w:color="auto" w:fill="auto"/>
          </w:tcPr>
          <w:p>
            <w:pPr>
              <w:spacing w:line="300" w:lineRule="exact"/>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0</w:t>
            </w:r>
          </w:p>
        </w:tc>
        <w:tc>
          <w:tcPr>
            <w:tcW w:w="737" w:type="dxa"/>
            <w:shd w:val="clear" w:color="auto" w:fill="auto"/>
          </w:tcPr>
          <w:p>
            <w:pPr>
              <w:spacing w:line="300" w:lineRule="exact"/>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52" w:type="dxa"/>
            <w:gridSpan w:val="3"/>
            <w:shd w:val="clear" w:color="auto" w:fill="auto"/>
          </w:tcPr>
          <w:p>
            <w:pPr>
              <w:spacing w:line="300" w:lineRule="exact"/>
              <w:jc w:val="center"/>
              <w:rPr>
                <w:rFonts w:hint="eastAsia" w:ascii="仿宋" w:hAnsi="仿宋" w:eastAsia="仿宋" w:cs="仿宋"/>
                <w:color w:val="auto"/>
                <w:sz w:val="24"/>
                <w:szCs w:val="24"/>
                <w:lang w:val="en-US" w:eastAsia="zh-CN"/>
              </w:rPr>
            </w:pPr>
            <w:r>
              <w:rPr>
                <w:rFonts w:hint="eastAsia" w:ascii="仿宋" w:hAnsi="仿宋" w:eastAsia="仿宋" w:cs="仿宋"/>
                <w:b/>
                <w:color w:val="auto"/>
                <w:sz w:val="24"/>
                <w:szCs w:val="24"/>
              </w:rPr>
              <w:t>二</w:t>
            </w:r>
            <w:r>
              <w:rPr>
                <w:rFonts w:hint="eastAsia" w:ascii="仿宋" w:hAnsi="仿宋" w:eastAsia="仿宋" w:cs="仿宋"/>
                <w:color w:val="auto"/>
                <w:sz w:val="24"/>
                <w:szCs w:val="24"/>
              </w:rPr>
              <w:t>、上年结转政府信息公开申请数量</w:t>
            </w:r>
          </w:p>
        </w:tc>
        <w:tc>
          <w:tcPr>
            <w:tcW w:w="737" w:type="dxa"/>
            <w:shd w:val="clear" w:color="auto" w:fill="auto"/>
            <w:vAlign w:val="top"/>
          </w:tcPr>
          <w:p>
            <w:pPr>
              <w:spacing w:line="300" w:lineRule="exact"/>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0</w:t>
            </w:r>
          </w:p>
        </w:tc>
        <w:tc>
          <w:tcPr>
            <w:tcW w:w="737" w:type="dxa"/>
            <w:shd w:val="clear" w:color="auto" w:fill="auto"/>
            <w:vAlign w:val="top"/>
          </w:tcPr>
          <w:p>
            <w:pPr>
              <w:spacing w:line="300" w:lineRule="exact"/>
              <w:jc w:val="center"/>
              <w:rPr>
                <w:rFonts w:hint="eastAsia" w:ascii="仿宋" w:hAnsi="仿宋" w:eastAsia="仿宋" w:cs="仿宋"/>
                <w:color w:val="auto"/>
                <w:kern w:val="2"/>
                <w:sz w:val="24"/>
                <w:szCs w:val="24"/>
                <w:lang w:val="en-US" w:eastAsia="zh-CN" w:bidi="ar-SA"/>
              </w:rPr>
            </w:pPr>
            <w:r>
              <w:rPr>
                <w:rFonts w:hint="eastAsia" w:ascii="仿宋" w:hAnsi="仿宋" w:eastAsia="仿宋" w:cs="仿宋"/>
                <w:color w:val="auto"/>
                <w:sz w:val="24"/>
                <w:szCs w:val="24"/>
                <w:lang w:val="en-US" w:eastAsia="zh-CN"/>
              </w:rPr>
              <w:t>0</w:t>
            </w:r>
          </w:p>
        </w:tc>
        <w:tc>
          <w:tcPr>
            <w:tcW w:w="737" w:type="dxa"/>
            <w:shd w:val="clear" w:color="auto" w:fill="auto"/>
          </w:tcPr>
          <w:p>
            <w:pPr>
              <w:spacing w:line="300" w:lineRule="exact"/>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0</w:t>
            </w:r>
          </w:p>
        </w:tc>
        <w:tc>
          <w:tcPr>
            <w:tcW w:w="980" w:type="dxa"/>
            <w:shd w:val="clear" w:color="auto" w:fill="auto"/>
          </w:tcPr>
          <w:p>
            <w:pPr>
              <w:spacing w:line="300" w:lineRule="exact"/>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0</w:t>
            </w:r>
          </w:p>
        </w:tc>
        <w:tc>
          <w:tcPr>
            <w:tcW w:w="1005" w:type="dxa"/>
            <w:shd w:val="clear" w:color="auto" w:fill="auto"/>
          </w:tcPr>
          <w:p>
            <w:pPr>
              <w:spacing w:line="300" w:lineRule="exact"/>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0</w:t>
            </w:r>
          </w:p>
        </w:tc>
        <w:tc>
          <w:tcPr>
            <w:tcW w:w="737" w:type="dxa"/>
            <w:shd w:val="clear" w:color="auto" w:fill="auto"/>
          </w:tcPr>
          <w:p>
            <w:pPr>
              <w:spacing w:line="300" w:lineRule="exact"/>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0</w:t>
            </w:r>
          </w:p>
        </w:tc>
        <w:tc>
          <w:tcPr>
            <w:tcW w:w="737" w:type="dxa"/>
            <w:shd w:val="clear" w:color="auto" w:fill="auto"/>
          </w:tcPr>
          <w:p>
            <w:pPr>
              <w:spacing w:line="300" w:lineRule="exact"/>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0" w:type="dxa"/>
            <w:vMerge w:val="restart"/>
            <w:shd w:val="clear" w:color="auto" w:fill="auto"/>
            <w:vAlign w:val="center"/>
          </w:tcPr>
          <w:p>
            <w:pPr>
              <w:spacing w:line="300" w:lineRule="exact"/>
              <w:jc w:val="center"/>
              <w:rPr>
                <w:rFonts w:ascii="仿宋" w:hAnsi="仿宋" w:eastAsia="仿宋" w:cs="仿宋"/>
                <w:color w:val="auto"/>
                <w:sz w:val="24"/>
                <w:szCs w:val="24"/>
              </w:rPr>
            </w:pPr>
            <w:r>
              <w:rPr>
                <w:rFonts w:hint="eastAsia" w:ascii="仿宋" w:hAnsi="仿宋" w:eastAsia="仿宋" w:cs="仿宋"/>
                <w:b/>
                <w:color w:val="auto"/>
                <w:sz w:val="24"/>
                <w:szCs w:val="24"/>
              </w:rPr>
              <w:t>三</w:t>
            </w:r>
            <w:r>
              <w:rPr>
                <w:rFonts w:hint="eastAsia" w:ascii="仿宋" w:hAnsi="仿宋" w:eastAsia="仿宋" w:cs="仿宋"/>
                <w:color w:val="auto"/>
                <w:sz w:val="24"/>
                <w:szCs w:val="24"/>
              </w:rPr>
              <w:t>、本年度办理结果</w:t>
            </w:r>
          </w:p>
        </w:tc>
        <w:tc>
          <w:tcPr>
            <w:tcW w:w="3202" w:type="dxa"/>
            <w:gridSpan w:val="2"/>
            <w:shd w:val="clear" w:color="auto" w:fill="auto"/>
          </w:tcPr>
          <w:p>
            <w:pPr>
              <w:spacing w:line="300" w:lineRule="exact"/>
              <w:rPr>
                <w:rFonts w:ascii="仿宋" w:hAnsi="仿宋" w:eastAsia="仿宋" w:cs="仿宋"/>
                <w:color w:val="auto"/>
                <w:sz w:val="24"/>
                <w:szCs w:val="24"/>
              </w:rPr>
            </w:pPr>
            <w:r>
              <w:rPr>
                <w:rFonts w:hint="eastAsia" w:ascii="仿宋" w:hAnsi="仿宋" w:eastAsia="仿宋" w:cs="仿宋"/>
                <w:color w:val="auto"/>
                <w:sz w:val="24"/>
                <w:szCs w:val="24"/>
              </w:rPr>
              <w:t>（一）予以公开</w:t>
            </w:r>
          </w:p>
        </w:tc>
        <w:tc>
          <w:tcPr>
            <w:tcW w:w="737" w:type="dxa"/>
            <w:shd w:val="clear" w:color="auto" w:fill="auto"/>
            <w:vAlign w:val="top"/>
          </w:tcPr>
          <w:p>
            <w:pPr>
              <w:spacing w:line="300" w:lineRule="exact"/>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0</w:t>
            </w:r>
          </w:p>
        </w:tc>
        <w:tc>
          <w:tcPr>
            <w:tcW w:w="737" w:type="dxa"/>
            <w:shd w:val="clear" w:color="auto" w:fill="auto"/>
            <w:vAlign w:val="top"/>
          </w:tcPr>
          <w:p>
            <w:pPr>
              <w:spacing w:line="300" w:lineRule="exact"/>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0</w:t>
            </w:r>
          </w:p>
        </w:tc>
        <w:tc>
          <w:tcPr>
            <w:tcW w:w="737" w:type="dxa"/>
            <w:shd w:val="clear" w:color="auto" w:fill="auto"/>
          </w:tcPr>
          <w:p>
            <w:pPr>
              <w:spacing w:line="300" w:lineRule="exact"/>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0</w:t>
            </w:r>
          </w:p>
        </w:tc>
        <w:tc>
          <w:tcPr>
            <w:tcW w:w="980" w:type="dxa"/>
            <w:shd w:val="clear" w:color="auto" w:fill="auto"/>
          </w:tcPr>
          <w:p>
            <w:pPr>
              <w:spacing w:line="300" w:lineRule="exact"/>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0</w:t>
            </w:r>
          </w:p>
        </w:tc>
        <w:tc>
          <w:tcPr>
            <w:tcW w:w="1005" w:type="dxa"/>
            <w:shd w:val="clear" w:color="auto" w:fill="auto"/>
          </w:tcPr>
          <w:p>
            <w:pPr>
              <w:spacing w:line="300" w:lineRule="exact"/>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0</w:t>
            </w:r>
          </w:p>
        </w:tc>
        <w:tc>
          <w:tcPr>
            <w:tcW w:w="737" w:type="dxa"/>
            <w:shd w:val="clear" w:color="auto" w:fill="auto"/>
          </w:tcPr>
          <w:p>
            <w:pPr>
              <w:spacing w:line="300" w:lineRule="exact"/>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0</w:t>
            </w:r>
          </w:p>
        </w:tc>
        <w:tc>
          <w:tcPr>
            <w:tcW w:w="737" w:type="dxa"/>
            <w:shd w:val="clear" w:color="auto" w:fill="auto"/>
          </w:tcPr>
          <w:p>
            <w:pPr>
              <w:spacing w:line="300" w:lineRule="exact"/>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0" w:type="dxa"/>
            <w:vMerge w:val="continue"/>
            <w:shd w:val="clear" w:color="auto" w:fill="auto"/>
          </w:tcPr>
          <w:p>
            <w:pPr>
              <w:spacing w:line="300" w:lineRule="exact"/>
              <w:rPr>
                <w:rFonts w:ascii="仿宋" w:hAnsi="仿宋" w:eastAsia="仿宋" w:cs="仿宋"/>
                <w:color w:val="auto"/>
                <w:sz w:val="24"/>
                <w:szCs w:val="24"/>
              </w:rPr>
            </w:pPr>
          </w:p>
        </w:tc>
        <w:tc>
          <w:tcPr>
            <w:tcW w:w="3202" w:type="dxa"/>
            <w:gridSpan w:val="2"/>
            <w:shd w:val="clear" w:color="auto" w:fill="auto"/>
          </w:tcPr>
          <w:p>
            <w:pPr>
              <w:spacing w:line="300" w:lineRule="exact"/>
              <w:rPr>
                <w:rFonts w:ascii="仿宋" w:hAnsi="仿宋" w:eastAsia="仿宋" w:cs="仿宋"/>
                <w:color w:val="auto"/>
                <w:sz w:val="24"/>
                <w:szCs w:val="24"/>
              </w:rPr>
            </w:pPr>
            <w:r>
              <w:rPr>
                <w:rFonts w:hint="eastAsia" w:ascii="仿宋" w:hAnsi="仿宋" w:eastAsia="仿宋" w:cs="仿宋"/>
                <w:color w:val="auto"/>
                <w:sz w:val="24"/>
                <w:szCs w:val="24"/>
              </w:rPr>
              <w:t>（二）部分公开（区分处理的，只记这一情形，不记其他情形）</w:t>
            </w:r>
          </w:p>
        </w:tc>
        <w:tc>
          <w:tcPr>
            <w:tcW w:w="737" w:type="dxa"/>
            <w:shd w:val="clear" w:color="auto" w:fill="auto"/>
            <w:vAlign w:val="top"/>
          </w:tcPr>
          <w:p>
            <w:pPr>
              <w:spacing w:line="300" w:lineRule="exact"/>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0</w:t>
            </w:r>
          </w:p>
        </w:tc>
        <w:tc>
          <w:tcPr>
            <w:tcW w:w="737" w:type="dxa"/>
            <w:shd w:val="clear" w:color="auto" w:fill="auto"/>
            <w:vAlign w:val="top"/>
          </w:tcPr>
          <w:p>
            <w:pPr>
              <w:spacing w:line="300" w:lineRule="exact"/>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0</w:t>
            </w:r>
          </w:p>
        </w:tc>
        <w:tc>
          <w:tcPr>
            <w:tcW w:w="737" w:type="dxa"/>
            <w:shd w:val="clear" w:color="auto" w:fill="auto"/>
          </w:tcPr>
          <w:p>
            <w:pPr>
              <w:spacing w:line="300" w:lineRule="exact"/>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0</w:t>
            </w:r>
          </w:p>
        </w:tc>
        <w:tc>
          <w:tcPr>
            <w:tcW w:w="980" w:type="dxa"/>
            <w:shd w:val="clear" w:color="auto" w:fill="auto"/>
          </w:tcPr>
          <w:p>
            <w:pPr>
              <w:spacing w:line="300" w:lineRule="exact"/>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0</w:t>
            </w:r>
          </w:p>
        </w:tc>
        <w:tc>
          <w:tcPr>
            <w:tcW w:w="1005" w:type="dxa"/>
            <w:shd w:val="clear" w:color="auto" w:fill="auto"/>
          </w:tcPr>
          <w:p>
            <w:pPr>
              <w:spacing w:line="300" w:lineRule="exact"/>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0</w:t>
            </w:r>
          </w:p>
        </w:tc>
        <w:tc>
          <w:tcPr>
            <w:tcW w:w="737" w:type="dxa"/>
            <w:shd w:val="clear" w:color="auto" w:fill="auto"/>
          </w:tcPr>
          <w:p>
            <w:pPr>
              <w:spacing w:line="300" w:lineRule="exact"/>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0</w:t>
            </w:r>
          </w:p>
        </w:tc>
        <w:tc>
          <w:tcPr>
            <w:tcW w:w="737" w:type="dxa"/>
            <w:shd w:val="clear" w:color="auto" w:fill="auto"/>
          </w:tcPr>
          <w:p>
            <w:pPr>
              <w:spacing w:line="300" w:lineRule="exact"/>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0" w:type="dxa"/>
            <w:vMerge w:val="continue"/>
            <w:shd w:val="clear" w:color="auto" w:fill="auto"/>
          </w:tcPr>
          <w:p>
            <w:pPr>
              <w:spacing w:line="300" w:lineRule="exact"/>
              <w:rPr>
                <w:rFonts w:ascii="仿宋" w:hAnsi="仿宋" w:eastAsia="仿宋" w:cs="仿宋"/>
                <w:color w:val="auto"/>
                <w:sz w:val="24"/>
                <w:szCs w:val="24"/>
              </w:rPr>
            </w:pPr>
          </w:p>
        </w:tc>
        <w:tc>
          <w:tcPr>
            <w:tcW w:w="1155" w:type="dxa"/>
            <w:vMerge w:val="restart"/>
            <w:shd w:val="clear" w:color="auto" w:fill="auto"/>
            <w:vAlign w:val="center"/>
          </w:tcPr>
          <w:p>
            <w:pPr>
              <w:spacing w:line="300" w:lineRule="exact"/>
              <w:rPr>
                <w:rFonts w:ascii="仿宋" w:hAnsi="仿宋" w:eastAsia="仿宋" w:cs="仿宋"/>
                <w:color w:val="auto"/>
                <w:sz w:val="24"/>
                <w:szCs w:val="24"/>
              </w:rPr>
            </w:pPr>
            <w:r>
              <w:rPr>
                <w:rFonts w:hint="eastAsia" w:ascii="仿宋" w:hAnsi="仿宋" w:eastAsia="仿宋" w:cs="仿宋"/>
                <w:color w:val="auto"/>
                <w:sz w:val="24"/>
                <w:szCs w:val="24"/>
              </w:rPr>
              <w:t>（三）不予公开</w:t>
            </w:r>
          </w:p>
        </w:tc>
        <w:tc>
          <w:tcPr>
            <w:tcW w:w="2047" w:type="dxa"/>
            <w:shd w:val="clear" w:color="auto" w:fill="auto"/>
          </w:tcPr>
          <w:p>
            <w:pPr>
              <w:spacing w:line="300" w:lineRule="exact"/>
              <w:rPr>
                <w:rFonts w:ascii="仿宋" w:hAnsi="仿宋" w:eastAsia="仿宋" w:cs="仿宋"/>
                <w:color w:val="auto"/>
                <w:sz w:val="24"/>
                <w:szCs w:val="24"/>
              </w:rPr>
            </w:pPr>
            <w:r>
              <w:rPr>
                <w:rFonts w:hint="eastAsia" w:ascii="仿宋" w:hAnsi="仿宋" w:eastAsia="仿宋" w:cs="仿宋"/>
                <w:color w:val="auto"/>
                <w:sz w:val="24"/>
                <w:szCs w:val="24"/>
              </w:rPr>
              <w:t>1.属于国家秘密</w:t>
            </w:r>
          </w:p>
        </w:tc>
        <w:tc>
          <w:tcPr>
            <w:tcW w:w="737" w:type="dxa"/>
            <w:shd w:val="clear" w:color="auto" w:fill="auto"/>
            <w:vAlign w:val="top"/>
          </w:tcPr>
          <w:p>
            <w:pPr>
              <w:spacing w:line="300" w:lineRule="exact"/>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0</w:t>
            </w:r>
          </w:p>
        </w:tc>
        <w:tc>
          <w:tcPr>
            <w:tcW w:w="737" w:type="dxa"/>
            <w:shd w:val="clear" w:color="auto" w:fill="auto"/>
            <w:vAlign w:val="top"/>
          </w:tcPr>
          <w:p>
            <w:pPr>
              <w:spacing w:line="300" w:lineRule="exact"/>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0</w:t>
            </w:r>
          </w:p>
        </w:tc>
        <w:tc>
          <w:tcPr>
            <w:tcW w:w="737" w:type="dxa"/>
            <w:shd w:val="clear" w:color="auto" w:fill="auto"/>
          </w:tcPr>
          <w:p>
            <w:pPr>
              <w:spacing w:line="300" w:lineRule="exact"/>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0</w:t>
            </w:r>
          </w:p>
        </w:tc>
        <w:tc>
          <w:tcPr>
            <w:tcW w:w="980" w:type="dxa"/>
            <w:shd w:val="clear" w:color="auto" w:fill="auto"/>
          </w:tcPr>
          <w:p>
            <w:pPr>
              <w:spacing w:line="300" w:lineRule="exact"/>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0</w:t>
            </w:r>
          </w:p>
        </w:tc>
        <w:tc>
          <w:tcPr>
            <w:tcW w:w="1005" w:type="dxa"/>
            <w:shd w:val="clear" w:color="auto" w:fill="auto"/>
          </w:tcPr>
          <w:p>
            <w:pPr>
              <w:spacing w:line="300" w:lineRule="exact"/>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0</w:t>
            </w:r>
          </w:p>
        </w:tc>
        <w:tc>
          <w:tcPr>
            <w:tcW w:w="737" w:type="dxa"/>
            <w:shd w:val="clear" w:color="auto" w:fill="auto"/>
          </w:tcPr>
          <w:p>
            <w:pPr>
              <w:spacing w:line="300" w:lineRule="exact"/>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0</w:t>
            </w:r>
          </w:p>
        </w:tc>
        <w:tc>
          <w:tcPr>
            <w:tcW w:w="737" w:type="dxa"/>
            <w:shd w:val="clear" w:color="auto" w:fill="auto"/>
          </w:tcPr>
          <w:p>
            <w:pPr>
              <w:spacing w:line="300" w:lineRule="exact"/>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0" w:type="dxa"/>
            <w:vMerge w:val="continue"/>
            <w:shd w:val="clear" w:color="auto" w:fill="auto"/>
          </w:tcPr>
          <w:p>
            <w:pPr>
              <w:spacing w:line="300" w:lineRule="exact"/>
              <w:rPr>
                <w:rFonts w:ascii="仿宋" w:hAnsi="仿宋" w:eastAsia="仿宋" w:cs="仿宋"/>
                <w:color w:val="auto"/>
                <w:sz w:val="24"/>
                <w:szCs w:val="24"/>
              </w:rPr>
            </w:pPr>
          </w:p>
        </w:tc>
        <w:tc>
          <w:tcPr>
            <w:tcW w:w="1155" w:type="dxa"/>
            <w:vMerge w:val="continue"/>
            <w:shd w:val="clear" w:color="auto" w:fill="auto"/>
          </w:tcPr>
          <w:p>
            <w:pPr>
              <w:spacing w:line="300" w:lineRule="exact"/>
              <w:jc w:val="center"/>
              <w:rPr>
                <w:rFonts w:ascii="仿宋" w:hAnsi="仿宋" w:eastAsia="仿宋" w:cs="仿宋"/>
                <w:color w:val="auto"/>
                <w:sz w:val="24"/>
                <w:szCs w:val="24"/>
              </w:rPr>
            </w:pPr>
          </w:p>
        </w:tc>
        <w:tc>
          <w:tcPr>
            <w:tcW w:w="2047" w:type="dxa"/>
            <w:shd w:val="clear" w:color="auto" w:fill="auto"/>
          </w:tcPr>
          <w:p>
            <w:pPr>
              <w:spacing w:line="300" w:lineRule="exact"/>
              <w:rPr>
                <w:rFonts w:ascii="仿宋" w:hAnsi="仿宋" w:eastAsia="仿宋" w:cs="仿宋"/>
                <w:color w:val="auto"/>
                <w:sz w:val="24"/>
                <w:szCs w:val="24"/>
              </w:rPr>
            </w:pPr>
            <w:r>
              <w:rPr>
                <w:rFonts w:hint="eastAsia" w:ascii="仿宋" w:hAnsi="仿宋" w:eastAsia="仿宋" w:cs="仿宋"/>
                <w:color w:val="auto"/>
                <w:sz w:val="24"/>
                <w:szCs w:val="24"/>
              </w:rPr>
              <w:t>2.其他法律行政法规禁止公开</w:t>
            </w:r>
          </w:p>
        </w:tc>
        <w:tc>
          <w:tcPr>
            <w:tcW w:w="737" w:type="dxa"/>
            <w:shd w:val="clear" w:color="auto" w:fill="auto"/>
            <w:vAlign w:val="top"/>
          </w:tcPr>
          <w:p>
            <w:pPr>
              <w:spacing w:line="300" w:lineRule="exact"/>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0</w:t>
            </w:r>
          </w:p>
        </w:tc>
        <w:tc>
          <w:tcPr>
            <w:tcW w:w="737" w:type="dxa"/>
            <w:shd w:val="clear" w:color="auto" w:fill="auto"/>
            <w:vAlign w:val="top"/>
          </w:tcPr>
          <w:p>
            <w:pPr>
              <w:spacing w:line="300" w:lineRule="exact"/>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0</w:t>
            </w:r>
          </w:p>
        </w:tc>
        <w:tc>
          <w:tcPr>
            <w:tcW w:w="737" w:type="dxa"/>
            <w:shd w:val="clear" w:color="auto" w:fill="auto"/>
          </w:tcPr>
          <w:p>
            <w:pPr>
              <w:spacing w:line="300" w:lineRule="exact"/>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0</w:t>
            </w:r>
          </w:p>
        </w:tc>
        <w:tc>
          <w:tcPr>
            <w:tcW w:w="980" w:type="dxa"/>
            <w:shd w:val="clear" w:color="auto" w:fill="auto"/>
          </w:tcPr>
          <w:p>
            <w:pPr>
              <w:spacing w:line="300" w:lineRule="exact"/>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0</w:t>
            </w:r>
          </w:p>
        </w:tc>
        <w:tc>
          <w:tcPr>
            <w:tcW w:w="1005" w:type="dxa"/>
            <w:shd w:val="clear" w:color="auto" w:fill="auto"/>
          </w:tcPr>
          <w:p>
            <w:pPr>
              <w:spacing w:line="300" w:lineRule="exact"/>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0</w:t>
            </w:r>
          </w:p>
        </w:tc>
        <w:tc>
          <w:tcPr>
            <w:tcW w:w="737" w:type="dxa"/>
            <w:shd w:val="clear" w:color="auto" w:fill="auto"/>
          </w:tcPr>
          <w:p>
            <w:pPr>
              <w:spacing w:line="300" w:lineRule="exact"/>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0</w:t>
            </w:r>
          </w:p>
        </w:tc>
        <w:tc>
          <w:tcPr>
            <w:tcW w:w="737" w:type="dxa"/>
            <w:shd w:val="clear" w:color="auto" w:fill="auto"/>
          </w:tcPr>
          <w:p>
            <w:pPr>
              <w:spacing w:line="300" w:lineRule="exact"/>
              <w:jc w:val="center"/>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0" w:type="dxa"/>
            <w:vMerge w:val="continue"/>
            <w:shd w:val="clear" w:color="auto" w:fill="auto"/>
          </w:tcPr>
          <w:p>
            <w:pPr>
              <w:spacing w:line="300" w:lineRule="exact"/>
              <w:rPr>
                <w:rFonts w:ascii="仿宋" w:hAnsi="仿宋" w:eastAsia="仿宋" w:cs="仿宋"/>
                <w:sz w:val="24"/>
                <w:szCs w:val="24"/>
              </w:rPr>
            </w:pPr>
          </w:p>
        </w:tc>
        <w:tc>
          <w:tcPr>
            <w:tcW w:w="1155" w:type="dxa"/>
            <w:vMerge w:val="continue"/>
            <w:shd w:val="clear" w:color="auto" w:fill="auto"/>
          </w:tcPr>
          <w:p>
            <w:pPr>
              <w:spacing w:line="300" w:lineRule="exact"/>
              <w:jc w:val="center"/>
              <w:rPr>
                <w:rFonts w:ascii="仿宋" w:hAnsi="仿宋" w:eastAsia="仿宋" w:cs="仿宋"/>
                <w:sz w:val="24"/>
                <w:szCs w:val="24"/>
              </w:rPr>
            </w:pPr>
          </w:p>
        </w:tc>
        <w:tc>
          <w:tcPr>
            <w:tcW w:w="2047" w:type="dxa"/>
            <w:shd w:val="clear" w:color="auto" w:fill="auto"/>
          </w:tcPr>
          <w:p>
            <w:pPr>
              <w:spacing w:line="300" w:lineRule="exact"/>
              <w:rPr>
                <w:rFonts w:ascii="仿宋" w:hAnsi="仿宋" w:eastAsia="仿宋" w:cs="仿宋"/>
                <w:sz w:val="24"/>
                <w:szCs w:val="24"/>
              </w:rPr>
            </w:pPr>
            <w:r>
              <w:rPr>
                <w:rFonts w:hint="eastAsia" w:ascii="仿宋" w:hAnsi="仿宋" w:eastAsia="仿宋" w:cs="仿宋"/>
                <w:sz w:val="24"/>
                <w:szCs w:val="24"/>
              </w:rPr>
              <w:t>3.危及“三安全一稳定”</w:t>
            </w:r>
          </w:p>
        </w:tc>
        <w:tc>
          <w:tcPr>
            <w:tcW w:w="737" w:type="dxa"/>
            <w:shd w:val="clear" w:color="auto" w:fill="auto"/>
            <w:vAlign w:val="top"/>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737" w:type="dxa"/>
            <w:shd w:val="clear" w:color="auto" w:fill="auto"/>
            <w:vAlign w:val="top"/>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737" w:type="dxa"/>
            <w:shd w:val="clear" w:color="auto" w:fill="auto"/>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980" w:type="dxa"/>
            <w:shd w:val="clear" w:color="auto" w:fill="auto"/>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1005" w:type="dxa"/>
            <w:shd w:val="clear" w:color="auto" w:fill="auto"/>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737" w:type="dxa"/>
            <w:shd w:val="clear" w:color="auto" w:fill="auto"/>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737" w:type="dxa"/>
            <w:shd w:val="clear" w:color="auto" w:fill="auto"/>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0" w:type="dxa"/>
            <w:vMerge w:val="continue"/>
            <w:shd w:val="clear" w:color="auto" w:fill="auto"/>
          </w:tcPr>
          <w:p>
            <w:pPr>
              <w:spacing w:line="300" w:lineRule="exact"/>
              <w:rPr>
                <w:rFonts w:ascii="仿宋" w:hAnsi="仿宋" w:eastAsia="仿宋" w:cs="仿宋"/>
                <w:sz w:val="24"/>
                <w:szCs w:val="24"/>
              </w:rPr>
            </w:pPr>
          </w:p>
        </w:tc>
        <w:tc>
          <w:tcPr>
            <w:tcW w:w="1155" w:type="dxa"/>
            <w:vMerge w:val="continue"/>
            <w:shd w:val="clear" w:color="auto" w:fill="auto"/>
          </w:tcPr>
          <w:p>
            <w:pPr>
              <w:spacing w:line="300" w:lineRule="exact"/>
              <w:jc w:val="center"/>
              <w:rPr>
                <w:rFonts w:ascii="仿宋" w:hAnsi="仿宋" w:eastAsia="仿宋" w:cs="仿宋"/>
                <w:sz w:val="24"/>
                <w:szCs w:val="24"/>
              </w:rPr>
            </w:pPr>
          </w:p>
        </w:tc>
        <w:tc>
          <w:tcPr>
            <w:tcW w:w="2047" w:type="dxa"/>
            <w:shd w:val="clear" w:color="auto" w:fill="auto"/>
          </w:tcPr>
          <w:p>
            <w:pPr>
              <w:spacing w:line="300" w:lineRule="exact"/>
              <w:rPr>
                <w:rFonts w:ascii="仿宋" w:hAnsi="仿宋" w:eastAsia="仿宋" w:cs="仿宋"/>
                <w:sz w:val="24"/>
                <w:szCs w:val="24"/>
              </w:rPr>
            </w:pPr>
            <w:r>
              <w:rPr>
                <w:rFonts w:hint="eastAsia" w:ascii="仿宋" w:hAnsi="仿宋" w:eastAsia="仿宋" w:cs="仿宋"/>
                <w:sz w:val="24"/>
                <w:szCs w:val="24"/>
              </w:rPr>
              <w:t>4.保护第三方合法权益</w:t>
            </w:r>
          </w:p>
        </w:tc>
        <w:tc>
          <w:tcPr>
            <w:tcW w:w="737" w:type="dxa"/>
            <w:shd w:val="clear" w:color="auto" w:fill="auto"/>
            <w:vAlign w:val="top"/>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737" w:type="dxa"/>
            <w:shd w:val="clear" w:color="auto" w:fill="auto"/>
            <w:vAlign w:val="top"/>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737" w:type="dxa"/>
            <w:shd w:val="clear" w:color="auto" w:fill="auto"/>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980" w:type="dxa"/>
            <w:shd w:val="clear" w:color="auto" w:fill="auto"/>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1005" w:type="dxa"/>
            <w:shd w:val="clear" w:color="auto" w:fill="auto"/>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737" w:type="dxa"/>
            <w:shd w:val="clear" w:color="auto" w:fill="auto"/>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737" w:type="dxa"/>
            <w:shd w:val="clear" w:color="auto" w:fill="auto"/>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0" w:type="dxa"/>
            <w:vMerge w:val="continue"/>
            <w:shd w:val="clear" w:color="auto" w:fill="auto"/>
          </w:tcPr>
          <w:p>
            <w:pPr>
              <w:spacing w:line="300" w:lineRule="exact"/>
              <w:rPr>
                <w:rFonts w:ascii="仿宋" w:hAnsi="仿宋" w:eastAsia="仿宋" w:cs="仿宋"/>
                <w:sz w:val="24"/>
                <w:szCs w:val="24"/>
              </w:rPr>
            </w:pPr>
          </w:p>
        </w:tc>
        <w:tc>
          <w:tcPr>
            <w:tcW w:w="1155" w:type="dxa"/>
            <w:vMerge w:val="continue"/>
            <w:shd w:val="clear" w:color="auto" w:fill="auto"/>
          </w:tcPr>
          <w:p>
            <w:pPr>
              <w:spacing w:line="300" w:lineRule="exact"/>
              <w:rPr>
                <w:rFonts w:ascii="仿宋" w:hAnsi="仿宋" w:eastAsia="仿宋" w:cs="仿宋"/>
                <w:sz w:val="24"/>
                <w:szCs w:val="24"/>
              </w:rPr>
            </w:pPr>
          </w:p>
        </w:tc>
        <w:tc>
          <w:tcPr>
            <w:tcW w:w="2047" w:type="dxa"/>
            <w:shd w:val="clear" w:color="auto" w:fill="auto"/>
          </w:tcPr>
          <w:p>
            <w:pPr>
              <w:spacing w:line="300" w:lineRule="exact"/>
              <w:rPr>
                <w:rFonts w:ascii="仿宋" w:hAnsi="仿宋" w:eastAsia="仿宋" w:cs="仿宋"/>
                <w:sz w:val="24"/>
                <w:szCs w:val="24"/>
              </w:rPr>
            </w:pPr>
            <w:r>
              <w:rPr>
                <w:rFonts w:hint="eastAsia" w:ascii="仿宋" w:hAnsi="仿宋" w:eastAsia="仿宋" w:cs="仿宋"/>
                <w:sz w:val="24"/>
                <w:szCs w:val="24"/>
              </w:rPr>
              <w:t>5.属于三类内部事务信息</w:t>
            </w:r>
          </w:p>
        </w:tc>
        <w:tc>
          <w:tcPr>
            <w:tcW w:w="737" w:type="dxa"/>
            <w:shd w:val="clear" w:color="auto" w:fill="auto"/>
            <w:vAlign w:val="top"/>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737" w:type="dxa"/>
            <w:shd w:val="clear" w:color="auto" w:fill="auto"/>
            <w:vAlign w:val="top"/>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737" w:type="dxa"/>
            <w:shd w:val="clear" w:color="auto" w:fill="auto"/>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980" w:type="dxa"/>
            <w:shd w:val="clear" w:color="auto" w:fill="auto"/>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1005" w:type="dxa"/>
            <w:shd w:val="clear" w:color="auto" w:fill="auto"/>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737" w:type="dxa"/>
            <w:shd w:val="clear" w:color="auto" w:fill="auto"/>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737" w:type="dxa"/>
            <w:shd w:val="clear" w:color="auto" w:fill="auto"/>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0" w:type="dxa"/>
            <w:vMerge w:val="continue"/>
            <w:shd w:val="clear" w:color="auto" w:fill="auto"/>
          </w:tcPr>
          <w:p>
            <w:pPr>
              <w:spacing w:line="300" w:lineRule="exact"/>
              <w:rPr>
                <w:rFonts w:ascii="仿宋" w:hAnsi="仿宋" w:eastAsia="仿宋" w:cs="仿宋"/>
                <w:sz w:val="24"/>
                <w:szCs w:val="24"/>
              </w:rPr>
            </w:pPr>
          </w:p>
        </w:tc>
        <w:tc>
          <w:tcPr>
            <w:tcW w:w="1155" w:type="dxa"/>
            <w:vMerge w:val="continue"/>
            <w:shd w:val="clear" w:color="auto" w:fill="auto"/>
          </w:tcPr>
          <w:p>
            <w:pPr>
              <w:spacing w:line="300" w:lineRule="exact"/>
              <w:rPr>
                <w:rFonts w:ascii="仿宋" w:hAnsi="仿宋" w:eastAsia="仿宋" w:cs="仿宋"/>
                <w:sz w:val="24"/>
                <w:szCs w:val="24"/>
              </w:rPr>
            </w:pPr>
          </w:p>
        </w:tc>
        <w:tc>
          <w:tcPr>
            <w:tcW w:w="2047" w:type="dxa"/>
            <w:shd w:val="clear" w:color="auto" w:fill="auto"/>
          </w:tcPr>
          <w:p>
            <w:pPr>
              <w:spacing w:line="300" w:lineRule="exact"/>
              <w:rPr>
                <w:rFonts w:ascii="仿宋" w:hAnsi="仿宋" w:eastAsia="仿宋" w:cs="仿宋"/>
                <w:sz w:val="24"/>
                <w:szCs w:val="24"/>
              </w:rPr>
            </w:pPr>
            <w:r>
              <w:rPr>
                <w:rFonts w:hint="eastAsia" w:ascii="仿宋" w:hAnsi="仿宋" w:eastAsia="仿宋" w:cs="仿宋"/>
                <w:sz w:val="24"/>
                <w:szCs w:val="24"/>
              </w:rPr>
              <w:t>6.属于四类过程性信息</w:t>
            </w:r>
          </w:p>
        </w:tc>
        <w:tc>
          <w:tcPr>
            <w:tcW w:w="737" w:type="dxa"/>
            <w:shd w:val="clear" w:color="auto" w:fill="auto"/>
            <w:vAlign w:val="top"/>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737" w:type="dxa"/>
            <w:shd w:val="clear" w:color="auto" w:fill="auto"/>
            <w:vAlign w:val="top"/>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737" w:type="dxa"/>
            <w:shd w:val="clear" w:color="auto" w:fill="auto"/>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980" w:type="dxa"/>
            <w:shd w:val="clear" w:color="auto" w:fill="auto"/>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1005" w:type="dxa"/>
            <w:shd w:val="clear" w:color="auto" w:fill="auto"/>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737" w:type="dxa"/>
            <w:shd w:val="clear" w:color="auto" w:fill="auto"/>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737" w:type="dxa"/>
            <w:shd w:val="clear" w:color="auto" w:fill="auto"/>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0" w:type="dxa"/>
            <w:vMerge w:val="continue"/>
            <w:shd w:val="clear" w:color="auto" w:fill="auto"/>
          </w:tcPr>
          <w:p>
            <w:pPr>
              <w:spacing w:line="300" w:lineRule="exact"/>
              <w:rPr>
                <w:rFonts w:ascii="仿宋" w:hAnsi="仿宋" w:eastAsia="仿宋" w:cs="仿宋"/>
                <w:sz w:val="24"/>
                <w:szCs w:val="24"/>
              </w:rPr>
            </w:pPr>
          </w:p>
        </w:tc>
        <w:tc>
          <w:tcPr>
            <w:tcW w:w="1155" w:type="dxa"/>
            <w:vMerge w:val="continue"/>
            <w:shd w:val="clear" w:color="auto" w:fill="auto"/>
          </w:tcPr>
          <w:p>
            <w:pPr>
              <w:spacing w:line="300" w:lineRule="exact"/>
              <w:rPr>
                <w:rFonts w:ascii="仿宋" w:hAnsi="仿宋" w:eastAsia="仿宋" w:cs="仿宋"/>
                <w:sz w:val="24"/>
                <w:szCs w:val="24"/>
              </w:rPr>
            </w:pPr>
          </w:p>
        </w:tc>
        <w:tc>
          <w:tcPr>
            <w:tcW w:w="2047" w:type="dxa"/>
            <w:shd w:val="clear" w:color="auto" w:fill="auto"/>
          </w:tcPr>
          <w:p>
            <w:pPr>
              <w:spacing w:line="300" w:lineRule="exact"/>
              <w:rPr>
                <w:rFonts w:ascii="仿宋" w:hAnsi="仿宋" w:eastAsia="仿宋" w:cs="仿宋"/>
                <w:sz w:val="24"/>
                <w:szCs w:val="24"/>
              </w:rPr>
            </w:pPr>
            <w:r>
              <w:rPr>
                <w:rFonts w:hint="eastAsia" w:ascii="仿宋" w:hAnsi="仿宋" w:eastAsia="仿宋" w:cs="仿宋"/>
                <w:sz w:val="24"/>
                <w:szCs w:val="24"/>
              </w:rPr>
              <w:t>7.属于行政执法案卷</w:t>
            </w:r>
          </w:p>
        </w:tc>
        <w:tc>
          <w:tcPr>
            <w:tcW w:w="737" w:type="dxa"/>
            <w:shd w:val="clear" w:color="auto" w:fill="auto"/>
            <w:vAlign w:val="top"/>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737" w:type="dxa"/>
            <w:shd w:val="clear" w:color="auto" w:fill="auto"/>
            <w:vAlign w:val="top"/>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737" w:type="dxa"/>
            <w:shd w:val="clear" w:color="auto" w:fill="auto"/>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980" w:type="dxa"/>
            <w:shd w:val="clear" w:color="auto" w:fill="auto"/>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1005" w:type="dxa"/>
            <w:shd w:val="clear" w:color="auto" w:fill="auto"/>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737" w:type="dxa"/>
            <w:shd w:val="clear" w:color="auto" w:fill="auto"/>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737" w:type="dxa"/>
            <w:shd w:val="clear" w:color="auto" w:fill="auto"/>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0" w:type="dxa"/>
            <w:vMerge w:val="continue"/>
            <w:shd w:val="clear" w:color="auto" w:fill="auto"/>
          </w:tcPr>
          <w:p>
            <w:pPr>
              <w:spacing w:line="300" w:lineRule="exact"/>
              <w:rPr>
                <w:rFonts w:ascii="仿宋" w:hAnsi="仿宋" w:eastAsia="仿宋" w:cs="仿宋"/>
                <w:sz w:val="24"/>
                <w:szCs w:val="24"/>
              </w:rPr>
            </w:pPr>
          </w:p>
        </w:tc>
        <w:tc>
          <w:tcPr>
            <w:tcW w:w="1155" w:type="dxa"/>
            <w:vMerge w:val="continue"/>
            <w:shd w:val="clear" w:color="auto" w:fill="auto"/>
          </w:tcPr>
          <w:p>
            <w:pPr>
              <w:spacing w:line="300" w:lineRule="exact"/>
              <w:rPr>
                <w:rFonts w:ascii="仿宋" w:hAnsi="仿宋" w:eastAsia="仿宋" w:cs="仿宋"/>
                <w:sz w:val="24"/>
                <w:szCs w:val="24"/>
              </w:rPr>
            </w:pPr>
          </w:p>
        </w:tc>
        <w:tc>
          <w:tcPr>
            <w:tcW w:w="2047" w:type="dxa"/>
            <w:shd w:val="clear" w:color="auto" w:fill="auto"/>
          </w:tcPr>
          <w:p>
            <w:pPr>
              <w:spacing w:line="300" w:lineRule="exact"/>
              <w:rPr>
                <w:rFonts w:ascii="仿宋" w:hAnsi="仿宋" w:eastAsia="仿宋" w:cs="仿宋"/>
                <w:sz w:val="24"/>
                <w:szCs w:val="24"/>
              </w:rPr>
            </w:pPr>
            <w:r>
              <w:rPr>
                <w:rFonts w:hint="eastAsia" w:ascii="仿宋" w:hAnsi="仿宋" w:eastAsia="仿宋" w:cs="仿宋"/>
                <w:sz w:val="24"/>
                <w:szCs w:val="24"/>
              </w:rPr>
              <w:t>8.属于行政查询事项</w:t>
            </w:r>
          </w:p>
        </w:tc>
        <w:tc>
          <w:tcPr>
            <w:tcW w:w="737" w:type="dxa"/>
            <w:shd w:val="clear" w:color="auto" w:fill="auto"/>
            <w:vAlign w:val="top"/>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737" w:type="dxa"/>
            <w:shd w:val="clear" w:color="auto" w:fill="auto"/>
            <w:vAlign w:val="top"/>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737" w:type="dxa"/>
            <w:shd w:val="clear" w:color="auto" w:fill="auto"/>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980" w:type="dxa"/>
            <w:shd w:val="clear" w:color="auto" w:fill="auto"/>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1005" w:type="dxa"/>
            <w:shd w:val="clear" w:color="auto" w:fill="auto"/>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737" w:type="dxa"/>
            <w:shd w:val="clear" w:color="auto" w:fill="auto"/>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737" w:type="dxa"/>
            <w:shd w:val="clear" w:color="auto" w:fill="auto"/>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0" w:type="dxa"/>
            <w:vMerge w:val="continue"/>
            <w:shd w:val="clear" w:color="auto" w:fill="auto"/>
          </w:tcPr>
          <w:p>
            <w:pPr>
              <w:spacing w:line="300" w:lineRule="exact"/>
              <w:rPr>
                <w:rFonts w:ascii="仿宋" w:hAnsi="仿宋" w:eastAsia="仿宋" w:cs="仿宋"/>
                <w:sz w:val="24"/>
                <w:szCs w:val="24"/>
              </w:rPr>
            </w:pPr>
          </w:p>
        </w:tc>
        <w:tc>
          <w:tcPr>
            <w:tcW w:w="1155" w:type="dxa"/>
            <w:vMerge w:val="restart"/>
            <w:shd w:val="clear" w:color="auto" w:fill="auto"/>
          </w:tcPr>
          <w:p>
            <w:pPr>
              <w:spacing w:line="300" w:lineRule="exact"/>
              <w:rPr>
                <w:rFonts w:ascii="仿宋" w:hAnsi="仿宋" w:eastAsia="仿宋" w:cs="仿宋"/>
                <w:sz w:val="24"/>
                <w:szCs w:val="24"/>
              </w:rPr>
            </w:pPr>
            <w:r>
              <w:rPr>
                <w:rFonts w:hint="eastAsia" w:ascii="仿宋" w:hAnsi="仿宋" w:eastAsia="仿宋" w:cs="仿宋"/>
                <w:sz w:val="24"/>
                <w:szCs w:val="24"/>
              </w:rPr>
              <w:t>（四）无法提供</w:t>
            </w:r>
          </w:p>
        </w:tc>
        <w:tc>
          <w:tcPr>
            <w:tcW w:w="2047" w:type="dxa"/>
            <w:shd w:val="clear" w:color="auto" w:fill="auto"/>
          </w:tcPr>
          <w:p>
            <w:pPr>
              <w:spacing w:line="300" w:lineRule="exact"/>
              <w:rPr>
                <w:rFonts w:ascii="仿宋" w:hAnsi="仿宋" w:eastAsia="仿宋" w:cs="仿宋"/>
                <w:sz w:val="24"/>
                <w:szCs w:val="24"/>
              </w:rPr>
            </w:pPr>
            <w:r>
              <w:rPr>
                <w:rFonts w:hint="eastAsia" w:ascii="仿宋" w:hAnsi="仿宋" w:eastAsia="仿宋" w:cs="仿宋"/>
                <w:sz w:val="24"/>
                <w:szCs w:val="24"/>
              </w:rPr>
              <w:t>1.本机关不掌握相关政府信息</w:t>
            </w:r>
          </w:p>
        </w:tc>
        <w:tc>
          <w:tcPr>
            <w:tcW w:w="737" w:type="dxa"/>
            <w:shd w:val="clear" w:color="auto" w:fill="auto"/>
            <w:vAlign w:val="top"/>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737" w:type="dxa"/>
            <w:shd w:val="clear" w:color="auto" w:fill="auto"/>
            <w:vAlign w:val="top"/>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737" w:type="dxa"/>
            <w:shd w:val="clear" w:color="auto" w:fill="auto"/>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980" w:type="dxa"/>
            <w:shd w:val="clear" w:color="auto" w:fill="auto"/>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1005" w:type="dxa"/>
            <w:shd w:val="clear" w:color="auto" w:fill="auto"/>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737" w:type="dxa"/>
            <w:shd w:val="clear" w:color="auto" w:fill="auto"/>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737" w:type="dxa"/>
            <w:shd w:val="clear" w:color="auto" w:fill="auto"/>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0" w:type="dxa"/>
            <w:vMerge w:val="continue"/>
            <w:shd w:val="clear" w:color="auto" w:fill="auto"/>
          </w:tcPr>
          <w:p>
            <w:pPr>
              <w:spacing w:line="300" w:lineRule="exact"/>
              <w:rPr>
                <w:rFonts w:ascii="仿宋" w:hAnsi="仿宋" w:eastAsia="仿宋" w:cs="仿宋"/>
                <w:sz w:val="24"/>
                <w:szCs w:val="24"/>
              </w:rPr>
            </w:pPr>
          </w:p>
        </w:tc>
        <w:tc>
          <w:tcPr>
            <w:tcW w:w="1155" w:type="dxa"/>
            <w:vMerge w:val="continue"/>
            <w:shd w:val="clear" w:color="auto" w:fill="auto"/>
          </w:tcPr>
          <w:p>
            <w:pPr>
              <w:spacing w:line="300" w:lineRule="exact"/>
              <w:rPr>
                <w:rFonts w:ascii="仿宋" w:hAnsi="仿宋" w:eastAsia="仿宋" w:cs="仿宋"/>
                <w:sz w:val="24"/>
                <w:szCs w:val="24"/>
              </w:rPr>
            </w:pPr>
          </w:p>
        </w:tc>
        <w:tc>
          <w:tcPr>
            <w:tcW w:w="2047" w:type="dxa"/>
            <w:shd w:val="clear" w:color="auto" w:fill="auto"/>
          </w:tcPr>
          <w:p>
            <w:pPr>
              <w:spacing w:line="300" w:lineRule="exact"/>
              <w:rPr>
                <w:rFonts w:hint="eastAsia" w:ascii="仿宋" w:hAnsi="仿宋" w:eastAsia="仿宋" w:cs="仿宋"/>
                <w:sz w:val="24"/>
                <w:szCs w:val="24"/>
                <w:lang w:val="en-US" w:eastAsia="zh-CN"/>
              </w:rPr>
            </w:pPr>
            <w:r>
              <w:rPr>
                <w:rFonts w:hint="eastAsia" w:ascii="仿宋" w:hAnsi="仿宋" w:eastAsia="仿宋" w:cs="仿宋"/>
                <w:sz w:val="24"/>
                <w:szCs w:val="24"/>
              </w:rPr>
              <w:t>2.没有现成信息需要另行制作</w:t>
            </w:r>
          </w:p>
        </w:tc>
        <w:tc>
          <w:tcPr>
            <w:tcW w:w="737" w:type="dxa"/>
            <w:shd w:val="clear" w:color="auto" w:fill="auto"/>
            <w:vAlign w:val="top"/>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737" w:type="dxa"/>
            <w:shd w:val="clear" w:color="auto" w:fill="auto"/>
            <w:vAlign w:val="top"/>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737" w:type="dxa"/>
            <w:shd w:val="clear" w:color="auto" w:fill="auto"/>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980" w:type="dxa"/>
            <w:shd w:val="clear" w:color="auto" w:fill="auto"/>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1005" w:type="dxa"/>
            <w:shd w:val="clear" w:color="auto" w:fill="auto"/>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737" w:type="dxa"/>
            <w:shd w:val="clear" w:color="auto" w:fill="auto"/>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737" w:type="dxa"/>
            <w:shd w:val="clear" w:color="auto" w:fill="auto"/>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0" w:type="dxa"/>
            <w:vMerge w:val="continue"/>
            <w:shd w:val="clear" w:color="auto" w:fill="auto"/>
          </w:tcPr>
          <w:p>
            <w:pPr>
              <w:spacing w:line="300" w:lineRule="exact"/>
              <w:rPr>
                <w:rFonts w:ascii="仿宋" w:hAnsi="仿宋" w:eastAsia="仿宋" w:cs="仿宋"/>
                <w:sz w:val="24"/>
                <w:szCs w:val="24"/>
              </w:rPr>
            </w:pPr>
          </w:p>
        </w:tc>
        <w:tc>
          <w:tcPr>
            <w:tcW w:w="1155" w:type="dxa"/>
            <w:vMerge w:val="continue"/>
            <w:shd w:val="clear" w:color="auto" w:fill="auto"/>
          </w:tcPr>
          <w:p>
            <w:pPr>
              <w:spacing w:line="300" w:lineRule="exact"/>
              <w:rPr>
                <w:rFonts w:ascii="仿宋" w:hAnsi="仿宋" w:eastAsia="仿宋" w:cs="仿宋"/>
                <w:sz w:val="24"/>
                <w:szCs w:val="24"/>
              </w:rPr>
            </w:pPr>
          </w:p>
        </w:tc>
        <w:tc>
          <w:tcPr>
            <w:tcW w:w="2047" w:type="dxa"/>
            <w:shd w:val="clear" w:color="auto" w:fill="auto"/>
          </w:tcPr>
          <w:p>
            <w:pPr>
              <w:spacing w:line="300" w:lineRule="exact"/>
              <w:rPr>
                <w:rFonts w:ascii="仿宋" w:hAnsi="仿宋" w:eastAsia="仿宋" w:cs="仿宋"/>
                <w:sz w:val="24"/>
                <w:szCs w:val="24"/>
              </w:rPr>
            </w:pPr>
            <w:r>
              <w:rPr>
                <w:rFonts w:hint="eastAsia" w:ascii="仿宋" w:hAnsi="仿宋" w:eastAsia="仿宋" w:cs="仿宋"/>
                <w:sz w:val="24"/>
                <w:szCs w:val="24"/>
              </w:rPr>
              <w:t>3.补正后申请内容仍不明确</w:t>
            </w:r>
          </w:p>
        </w:tc>
        <w:tc>
          <w:tcPr>
            <w:tcW w:w="737" w:type="dxa"/>
            <w:shd w:val="clear" w:color="auto" w:fill="auto"/>
            <w:vAlign w:val="top"/>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737" w:type="dxa"/>
            <w:shd w:val="clear" w:color="auto" w:fill="auto"/>
            <w:vAlign w:val="top"/>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737" w:type="dxa"/>
            <w:shd w:val="clear" w:color="auto" w:fill="auto"/>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980" w:type="dxa"/>
            <w:shd w:val="clear" w:color="auto" w:fill="auto"/>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1005" w:type="dxa"/>
            <w:shd w:val="clear" w:color="auto" w:fill="auto"/>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737" w:type="dxa"/>
            <w:shd w:val="clear" w:color="auto" w:fill="auto"/>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737" w:type="dxa"/>
            <w:shd w:val="clear" w:color="auto" w:fill="auto"/>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0" w:type="dxa"/>
            <w:vMerge w:val="continue"/>
            <w:shd w:val="clear" w:color="auto" w:fill="auto"/>
          </w:tcPr>
          <w:p>
            <w:pPr>
              <w:spacing w:line="300" w:lineRule="exact"/>
              <w:rPr>
                <w:rFonts w:ascii="仿宋" w:hAnsi="仿宋" w:eastAsia="仿宋" w:cs="仿宋"/>
                <w:sz w:val="24"/>
                <w:szCs w:val="24"/>
              </w:rPr>
            </w:pPr>
          </w:p>
        </w:tc>
        <w:tc>
          <w:tcPr>
            <w:tcW w:w="1155" w:type="dxa"/>
            <w:vMerge w:val="restart"/>
            <w:shd w:val="clear" w:color="auto" w:fill="auto"/>
          </w:tcPr>
          <w:p>
            <w:pPr>
              <w:spacing w:line="300" w:lineRule="exact"/>
              <w:rPr>
                <w:rFonts w:ascii="仿宋" w:hAnsi="仿宋" w:eastAsia="仿宋" w:cs="仿宋"/>
                <w:sz w:val="24"/>
                <w:szCs w:val="24"/>
              </w:rPr>
            </w:pPr>
            <w:r>
              <w:rPr>
                <w:rFonts w:hint="eastAsia" w:ascii="仿宋" w:hAnsi="仿宋" w:eastAsia="仿宋" w:cs="仿宋"/>
                <w:sz w:val="24"/>
                <w:szCs w:val="24"/>
              </w:rPr>
              <w:t>（五）不予处理</w:t>
            </w:r>
          </w:p>
        </w:tc>
        <w:tc>
          <w:tcPr>
            <w:tcW w:w="2047" w:type="dxa"/>
            <w:shd w:val="clear" w:color="auto" w:fill="auto"/>
          </w:tcPr>
          <w:p>
            <w:pPr>
              <w:spacing w:line="300" w:lineRule="exact"/>
              <w:rPr>
                <w:rFonts w:ascii="仿宋" w:hAnsi="仿宋" w:eastAsia="仿宋" w:cs="仿宋"/>
                <w:sz w:val="24"/>
                <w:szCs w:val="24"/>
              </w:rPr>
            </w:pPr>
            <w:r>
              <w:rPr>
                <w:rFonts w:hint="eastAsia" w:ascii="仿宋" w:hAnsi="仿宋" w:eastAsia="仿宋" w:cs="仿宋"/>
                <w:sz w:val="24"/>
                <w:szCs w:val="24"/>
              </w:rPr>
              <w:t>1.信访投诉举报类申请</w:t>
            </w:r>
          </w:p>
        </w:tc>
        <w:tc>
          <w:tcPr>
            <w:tcW w:w="737" w:type="dxa"/>
            <w:shd w:val="clear" w:color="auto" w:fill="auto"/>
            <w:vAlign w:val="top"/>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737" w:type="dxa"/>
            <w:shd w:val="clear" w:color="auto" w:fill="auto"/>
            <w:vAlign w:val="top"/>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737" w:type="dxa"/>
            <w:shd w:val="clear" w:color="auto" w:fill="auto"/>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980" w:type="dxa"/>
            <w:shd w:val="clear" w:color="auto" w:fill="auto"/>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1005" w:type="dxa"/>
            <w:shd w:val="clear" w:color="auto" w:fill="auto"/>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737" w:type="dxa"/>
            <w:shd w:val="clear" w:color="auto" w:fill="auto"/>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737" w:type="dxa"/>
            <w:shd w:val="clear" w:color="auto" w:fill="auto"/>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0" w:type="dxa"/>
            <w:vMerge w:val="continue"/>
            <w:shd w:val="clear" w:color="auto" w:fill="auto"/>
          </w:tcPr>
          <w:p>
            <w:pPr>
              <w:spacing w:line="300" w:lineRule="exact"/>
              <w:rPr>
                <w:rFonts w:ascii="仿宋" w:hAnsi="仿宋" w:eastAsia="仿宋" w:cs="仿宋"/>
                <w:sz w:val="24"/>
                <w:szCs w:val="24"/>
              </w:rPr>
            </w:pPr>
          </w:p>
        </w:tc>
        <w:tc>
          <w:tcPr>
            <w:tcW w:w="1155" w:type="dxa"/>
            <w:vMerge w:val="continue"/>
            <w:shd w:val="clear" w:color="auto" w:fill="auto"/>
          </w:tcPr>
          <w:p>
            <w:pPr>
              <w:spacing w:line="300" w:lineRule="exact"/>
              <w:rPr>
                <w:rFonts w:ascii="仿宋" w:hAnsi="仿宋" w:eastAsia="仿宋" w:cs="仿宋"/>
                <w:sz w:val="24"/>
                <w:szCs w:val="24"/>
              </w:rPr>
            </w:pPr>
          </w:p>
        </w:tc>
        <w:tc>
          <w:tcPr>
            <w:tcW w:w="2047" w:type="dxa"/>
            <w:shd w:val="clear" w:color="auto" w:fill="auto"/>
          </w:tcPr>
          <w:p>
            <w:pPr>
              <w:spacing w:line="300" w:lineRule="exact"/>
              <w:rPr>
                <w:rFonts w:ascii="仿宋" w:hAnsi="仿宋" w:eastAsia="仿宋" w:cs="仿宋"/>
                <w:sz w:val="24"/>
                <w:szCs w:val="24"/>
              </w:rPr>
            </w:pPr>
            <w:r>
              <w:rPr>
                <w:rFonts w:hint="eastAsia" w:ascii="仿宋" w:hAnsi="仿宋" w:eastAsia="仿宋" w:cs="仿宋"/>
                <w:sz w:val="24"/>
                <w:szCs w:val="24"/>
              </w:rPr>
              <w:t>2.重复申请</w:t>
            </w:r>
          </w:p>
        </w:tc>
        <w:tc>
          <w:tcPr>
            <w:tcW w:w="737" w:type="dxa"/>
            <w:shd w:val="clear" w:color="auto" w:fill="auto"/>
            <w:vAlign w:val="top"/>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737" w:type="dxa"/>
            <w:shd w:val="clear" w:color="auto" w:fill="auto"/>
            <w:vAlign w:val="top"/>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737" w:type="dxa"/>
            <w:shd w:val="clear" w:color="auto" w:fill="auto"/>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980" w:type="dxa"/>
            <w:shd w:val="clear" w:color="auto" w:fill="auto"/>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1005" w:type="dxa"/>
            <w:shd w:val="clear" w:color="auto" w:fill="auto"/>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737" w:type="dxa"/>
            <w:shd w:val="clear" w:color="auto" w:fill="auto"/>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737" w:type="dxa"/>
            <w:shd w:val="clear" w:color="auto" w:fill="auto"/>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0" w:type="dxa"/>
            <w:vMerge w:val="continue"/>
            <w:shd w:val="clear" w:color="auto" w:fill="auto"/>
          </w:tcPr>
          <w:p>
            <w:pPr>
              <w:spacing w:line="300" w:lineRule="exact"/>
              <w:rPr>
                <w:rFonts w:ascii="仿宋" w:hAnsi="仿宋" w:eastAsia="仿宋" w:cs="仿宋"/>
                <w:sz w:val="24"/>
                <w:szCs w:val="24"/>
              </w:rPr>
            </w:pPr>
          </w:p>
        </w:tc>
        <w:tc>
          <w:tcPr>
            <w:tcW w:w="1155" w:type="dxa"/>
            <w:vMerge w:val="continue"/>
            <w:shd w:val="clear" w:color="auto" w:fill="auto"/>
          </w:tcPr>
          <w:p>
            <w:pPr>
              <w:spacing w:line="300" w:lineRule="exact"/>
              <w:rPr>
                <w:rFonts w:ascii="仿宋" w:hAnsi="仿宋" w:eastAsia="仿宋" w:cs="仿宋"/>
                <w:sz w:val="24"/>
                <w:szCs w:val="24"/>
              </w:rPr>
            </w:pPr>
          </w:p>
        </w:tc>
        <w:tc>
          <w:tcPr>
            <w:tcW w:w="2047" w:type="dxa"/>
            <w:shd w:val="clear" w:color="auto" w:fill="auto"/>
          </w:tcPr>
          <w:p>
            <w:pPr>
              <w:spacing w:line="300" w:lineRule="exact"/>
              <w:rPr>
                <w:rFonts w:ascii="仿宋" w:hAnsi="仿宋" w:eastAsia="仿宋" w:cs="仿宋"/>
                <w:sz w:val="24"/>
                <w:szCs w:val="24"/>
              </w:rPr>
            </w:pPr>
            <w:r>
              <w:rPr>
                <w:rFonts w:hint="eastAsia" w:ascii="仿宋" w:hAnsi="仿宋" w:eastAsia="仿宋" w:cs="仿宋"/>
                <w:sz w:val="24"/>
                <w:szCs w:val="24"/>
              </w:rPr>
              <w:t>3.要求提供公开出版物</w:t>
            </w:r>
          </w:p>
        </w:tc>
        <w:tc>
          <w:tcPr>
            <w:tcW w:w="737" w:type="dxa"/>
            <w:shd w:val="clear" w:color="auto" w:fill="auto"/>
            <w:vAlign w:val="top"/>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737" w:type="dxa"/>
            <w:shd w:val="clear" w:color="auto" w:fill="auto"/>
            <w:vAlign w:val="top"/>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737" w:type="dxa"/>
            <w:shd w:val="clear" w:color="auto" w:fill="auto"/>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980" w:type="dxa"/>
            <w:shd w:val="clear" w:color="auto" w:fill="auto"/>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1005" w:type="dxa"/>
            <w:shd w:val="clear" w:color="auto" w:fill="auto"/>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737" w:type="dxa"/>
            <w:shd w:val="clear" w:color="auto" w:fill="auto"/>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737" w:type="dxa"/>
            <w:shd w:val="clear" w:color="auto" w:fill="auto"/>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0" w:type="dxa"/>
            <w:vMerge w:val="continue"/>
            <w:shd w:val="clear" w:color="auto" w:fill="auto"/>
          </w:tcPr>
          <w:p>
            <w:pPr>
              <w:spacing w:line="300" w:lineRule="exact"/>
              <w:rPr>
                <w:rFonts w:ascii="仿宋" w:hAnsi="仿宋" w:eastAsia="仿宋" w:cs="仿宋"/>
                <w:sz w:val="24"/>
                <w:szCs w:val="24"/>
              </w:rPr>
            </w:pPr>
          </w:p>
        </w:tc>
        <w:tc>
          <w:tcPr>
            <w:tcW w:w="1155" w:type="dxa"/>
            <w:vMerge w:val="continue"/>
            <w:shd w:val="clear" w:color="auto" w:fill="auto"/>
          </w:tcPr>
          <w:p>
            <w:pPr>
              <w:spacing w:line="300" w:lineRule="exact"/>
              <w:rPr>
                <w:rFonts w:ascii="仿宋" w:hAnsi="仿宋" w:eastAsia="仿宋" w:cs="仿宋"/>
                <w:sz w:val="24"/>
                <w:szCs w:val="24"/>
              </w:rPr>
            </w:pPr>
          </w:p>
        </w:tc>
        <w:tc>
          <w:tcPr>
            <w:tcW w:w="2047" w:type="dxa"/>
            <w:shd w:val="clear" w:color="auto" w:fill="auto"/>
          </w:tcPr>
          <w:p>
            <w:pPr>
              <w:spacing w:line="300" w:lineRule="exact"/>
              <w:rPr>
                <w:rFonts w:ascii="仿宋" w:hAnsi="仿宋" w:eastAsia="仿宋" w:cs="仿宋"/>
                <w:sz w:val="24"/>
                <w:szCs w:val="24"/>
              </w:rPr>
            </w:pPr>
            <w:r>
              <w:rPr>
                <w:rFonts w:hint="eastAsia" w:ascii="仿宋" w:hAnsi="仿宋" w:eastAsia="仿宋" w:cs="仿宋"/>
                <w:sz w:val="24"/>
                <w:szCs w:val="24"/>
              </w:rPr>
              <w:t>4.无正当理由大量反复申请</w:t>
            </w:r>
          </w:p>
        </w:tc>
        <w:tc>
          <w:tcPr>
            <w:tcW w:w="737" w:type="dxa"/>
            <w:shd w:val="clear" w:color="auto" w:fill="auto"/>
            <w:vAlign w:val="top"/>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737" w:type="dxa"/>
            <w:shd w:val="clear" w:color="auto" w:fill="auto"/>
            <w:vAlign w:val="top"/>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737" w:type="dxa"/>
            <w:shd w:val="clear" w:color="auto" w:fill="auto"/>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980" w:type="dxa"/>
            <w:shd w:val="clear" w:color="auto" w:fill="auto"/>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1005" w:type="dxa"/>
            <w:shd w:val="clear" w:color="auto" w:fill="auto"/>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737" w:type="dxa"/>
            <w:shd w:val="clear" w:color="auto" w:fill="auto"/>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737" w:type="dxa"/>
            <w:shd w:val="clear" w:color="auto" w:fill="auto"/>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0" w:type="dxa"/>
            <w:vMerge w:val="continue"/>
            <w:shd w:val="clear" w:color="auto" w:fill="auto"/>
          </w:tcPr>
          <w:p>
            <w:pPr>
              <w:spacing w:line="300" w:lineRule="exact"/>
              <w:rPr>
                <w:rFonts w:ascii="仿宋" w:hAnsi="仿宋" w:eastAsia="仿宋" w:cs="仿宋"/>
                <w:sz w:val="24"/>
                <w:szCs w:val="24"/>
              </w:rPr>
            </w:pPr>
          </w:p>
        </w:tc>
        <w:tc>
          <w:tcPr>
            <w:tcW w:w="1155" w:type="dxa"/>
            <w:vMerge w:val="continue"/>
            <w:shd w:val="clear" w:color="auto" w:fill="auto"/>
          </w:tcPr>
          <w:p>
            <w:pPr>
              <w:spacing w:line="300" w:lineRule="exact"/>
              <w:rPr>
                <w:rFonts w:ascii="仿宋" w:hAnsi="仿宋" w:eastAsia="仿宋" w:cs="仿宋"/>
                <w:sz w:val="24"/>
                <w:szCs w:val="24"/>
              </w:rPr>
            </w:pPr>
          </w:p>
        </w:tc>
        <w:tc>
          <w:tcPr>
            <w:tcW w:w="2047" w:type="dxa"/>
            <w:shd w:val="clear" w:color="auto" w:fill="auto"/>
          </w:tcPr>
          <w:p>
            <w:pPr>
              <w:spacing w:line="300" w:lineRule="exact"/>
              <w:rPr>
                <w:rFonts w:ascii="仿宋" w:hAnsi="仿宋" w:eastAsia="仿宋" w:cs="仿宋"/>
                <w:sz w:val="24"/>
                <w:szCs w:val="24"/>
              </w:rPr>
            </w:pPr>
            <w:r>
              <w:rPr>
                <w:rFonts w:hint="eastAsia" w:ascii="仿宋" w:hAnsi="仿宋" w:eastAsia="仿宋" w:cs="仿宋"/>
                <w:sz w:val="24"/>
                <w:szCs w:val="24"/>
              </w:rPr>
              <w:t>5.要求行政机关确认或重新出具已获取信息</w:t>
            </w:r>
          </w:p>
        </w:tc>
        <w:tc>
          <w:tcPr>
            <w:tcW w:w="737" w:type="dxa"/>
            <w:shd w:val="clear" w:color="auto" w:fill="auto"/>
            <w:vAlign w:val="top"/>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737" w:type="dxa"/>
            <w:shd w:val="clear" w:color="auto" w:fill="auto"/>
            <w:vAlign w:val="top"/>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737" w:type="dxa"/>
            <w:shd w:val="clear" w:color="auto" w:fill="auto"/>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980" w:type="dxa"/>
            <w:shd w:val="clear" w:color="auto" w:fill="auto"/>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1005" w:type="dxa"/>
            <w:shd w:val="clear" w:color="auto" w:fill="auto"/>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737" w:type="dxa"/>
            <w:shd w:val="clear" w:color="auto" w:fill="auto"/>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737" w:type="dxa"/>
            <w:shd w:val="clear" w:color="auto" w:fill="auto"/>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0" w:type="dxa"/>
            <w:vMerge w:val="continue"/>
            <w:shd w:val="clear" w:color="auto" w:fill="auto"/>
          </w:tcPr>
          <w:p>
            <w:pPr>
              <w:spacing w:line="300" w:lineRule="exact"/>
              <w:rPr>
                <w:rFonts w:ascii="仿宋" w:hAnsi="仿宋" w:eastAsia="仿宋" w:cs="仿宋"/>
                <w:sz w:val="24"/>
                <w:szCs w:val="24"/>
              </w:rPr>
            </w:pPr>
          </w:p>
        </w:tc>
        <w:tc>
          <w:tcPr>
            <w:tcW w:w="3202" w:type="dxa"/>
            <w:gridSpan w:val="2"/>
            <w:shd w:val="clear" w:color="auto" w:fill="auto"/>
          </w:tcPr>
          <w:p>
            <w:pPr>
              <w:spacing w:line="300" w:lineRule="exact"/>
              <w:rPr>
                <w:rFonts w:ascii="仿宋" w:hAnsi="仿宋" w:eastAsia="仿宋" w:cs="仿宋"/>
                <w:sz w:val="24"/>
                <w:szCs w:val="24"/>
              </w:rPr>
            </w:pPr>
            <w:r>
              <w:rPr>
                <w:rFonts w:hint="eastAsia" w:ascii="仿宋" w:hAnsi="仿宋" w:eastAsia="仿宋" w:cs="仿宋"/>
                <w:sz w:val="24"/>
                <w:szCs w:val="24"/>
              </w:rPr>
              <w:t>（六）其他处理</w:t>
            </w:r>
          </w:p>
        </w:tc>
        <w:tc>
          <w:tcPr>
            <w:tcW w:w="737" w:type="dxa"/>
            <w:shd w:val="clear" w:color="auto" w:fill="auto"/>
            <w:vAlign w:val="top"/>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737" w:type="dxa"/>
            <w:shd w:val="clear" w:color="auto" w:fill="auto"/>
            <w:vAlign w:val="top"/>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737" w:type="dxa"/>
            <w:shd w:val="clear" w:color="auto" w:fill="auto"/>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980" w:type="dxa"/>
            <w:shd w:val="clear" w:color="auto" w:fill="auto"/>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1005" w:type="dxa"/>
            <w:shd w:val="clear" w:color="auto" w:fill="auto"/>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737" w:type="dxa"/>
            <w:shd w:val="clear" w:color="auto" w:fill="auto"/>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737" w:type="dxa"/>
            <w:shd w:val="clear" w:color="auto" w:fill="auto"/>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50" w:type="dxa"/>
            <w:shd w:val="clear" w:color="auto" w:fill="auto"/>
          </w:tcPr>
          <w:p>
            <w:pPr>
              <w:spacing w:line="300" w:lineRule="exact"/>
              <w:rPr>
                <w:rFonts w:ascii="仿宋" w:hAnsi="仿宋" w:eastAsia="仿宋" w:cs="仿宋"/>
                <w:sz w:val="24"/>
                <w:szCs w:val="24"/>
              </w:rPr>
            </w:pPr>
          </w:p>
        </w:tc>
        <w:tc>
          <w:tcPr>
            <w:tcW w:w="3202" w:type="dxa"/>
            <w:gridSpan w:val="2"/>
            <w:shd w:val="clear" w:color="auto" w:fill="auto"/>
          </w:tcPr>
          <w:p>
            <w:pPr>
              <w:spacing w:line="300" w:lineRule="exact"/>
              <w:rPr>
                <w:rFonts w:ascii="仿宋" w:hAnsi="仿宋" w:eastAsia="仿宋" w:cs="仿宋"/>
                <w:sz w:val="24"/>
                <w:szCs w:val="24"/>
              </w:rPr>
            </w:pPr>
            <w:r>
              <w:rPr>
                <w:rFonts w:hint="eastAsia" w:ascii="仿宋" w:hAnsi="仿宋" w:eastAsia="仿宋" w:cs="仿宋"/>
                <w:sz w:val="24"/>
                <w:szCs w:val="24"/>
              </w:rPr>
              <w:t>（七）总计</w:t>
            </w:r>
          </w:p>
        </w:tc>
        <w:tc>
          <w:tcPr>
            <w:tcW w:w="737" w:type="dxa"/>
            <w:shd w:val="clear" w:color="auto" w:fill="auto"/>
            <w:vAlign w:val="top"/>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737" w:type="dxa"/>
            <w:shd w:val="clear" w:color="auto" w:fill="auto"/>
            <w:vAlign w:val="top"/>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737" w:type="dxa"/>
            <w:shd w:val="clear" w:color="auto" w:fill="auto"/>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980" w:type="dxa"/>
            <w:shd w:val="clear" w:color="auto" w:fill="auto"/>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1005" w:type="dxa"/>
            <w:shd w:val="clear" w:color="auto" w:fill="auto"/>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737" w:type="dxa"/>
            <w:shd w:val="clear" w:color="auto" w:fill="auto"/>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737" w:type="dxa"/>
            <w:shd w:val="clear" w:color="auto" w:fill="auto"/>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252" w:type="dxa"/>
            <w:gridSpan w:val="3"/>
            <w:shd w:val="clear" w:color="auto" w:fill="auto"/>
          </w:tcPr>
          <w:p>
            <w:pPr>
              <w:spacing w:line="300" w:lineRule="exact"/>
              <w:rPr>
                <w:rFonts w:ascii="仿宋" w:hAnsi="仿宋" w:eastAsia="仿宋" w:cs="仿宋"/>
                <w:sz w:val="24"/>
                <w:szCs w:val="24"/>
              </w:rPr>
            </w:pPr>
            <w:r>
              <w:rPr>
                <w:rFonts w:hint="eastAsia" w:ascii="仿宋" w:hAnsi="仿宋" w:eastAsia="仿宋" w:cs="仿宋"/>
                <w:sz w:val="24"/>
                <w:szCs w:val="24"/>
              </w:rPr>
              <w:t>四、结转下年度继续办理</w:t>
            </w:r>
          </w:p>
        </w:tc>
        <w:tc>
          <w:tcPr>
            <w:tcW w:w="737" w:type="dxa"/>
            <w:shd w:val="clear" w:color="auto" w:fill="auto"/>
            <w:vAlign w:val="top"/>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737" w:type="dxa"/>
            <w:shd w:val="clear" w:color="auto" w:fill="auto"/>
            <w:vAlign w:val="top"/>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737" w:type="dxa"/>
            <w:shd w:val="clear" w:color="auto" w:fill="auto"/>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980" w:type="dxa"/>
            <w:shd w:val="clear" w:color="auto" w:fill="auto"/>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1005" w:type="dxa"/>
            <w:shd w:val="clear" w:color="auto" w:fill="auto"/>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737" w:type="dxa"/>
            <w:shd w:val="clear" w:color="auto" w:fill="auto"/>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c>
          <w:tcPr>
            <w:tcW w:w="737" w:type="dxa"/>
            <w:shd w:val="clear" w:color="auto" w:fill="auto"/>
          </w:tcPr>
          <w:p>
            <w:pPr>
              <w:spacing w:line="30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0</w:t>
            </w:r>
          </w:p>
        </w:tc>
      </w:tr>
    </w:tbl>
    <w:p>
      <w:pPr>
        <w:numPr>
          <w:ilvl w:val="0"/>
          <w:numId w:val="0"/>
        </w:numPr>
        <w:spacing w:line="540" w:lineRule="exact"/>
        <w:ind w:firstLine="640" w:firstLineChars="200"/>
        <w:rPr>
          <w:rFonts w:hint="eastAsia" w:ascii="黑体" w:hAnsi="黑体" w:eastAsia="黑体" w:cs="黑体"/>
          <w:b w:val="0"/>
          <w:bCs/>
          <w:sz w:val="32"/>
          <w:szCs w:val="32"/>
        </w:rPr>
      </w:pPr>
      <w:r>
        <w:rPr>
          <w:rFonts w:hint="eastAsia" w:ascii="黑体" w:hAnsi="黑体" w:eastAsia="黑体" w:cs="黑体"/>
          <w:b w:val="0"/>
          <w:bCs/>
          <w:sz w:val="32"/>
          <w:szCs w:val="32"/>
          <w:lang w:eastAsia="zh-CN"/>
        </w:rPr>
        <w:t>四、</w:t>
      </w:r>
      <w:r>
        <w:rPr>
          <w:rFonts w:hint="eastAsia" w:ascii="黑体" w:hAnsi="黑体" w:eastAsia="黑体" w:cs="黑体"/>
          <w:b w:val="0"/>
          <w:bCs/>
          <w:sz w:val="32"/>
          <w:szCs w:val="32"/>
        </w:rPr>
        <w:t>政府信息公开行政复议、行政诉讼情况</w:t>
      </w:r>
    </w:p>
    <w:tbl>
      <w:tblPr>
        <w:tblStyle w:val="3"/>
        <w:tblW w:w="95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5"/>
        <w:gridCol w:w="780"/>
        <w:gridCol w:w="705"/>
        <w:gridCol w:w="780"/>
        <w:gridCol w:w="765"/>
        <w:gridCol w:w="568"/>
        <w:gridCol w:w="568"/>
        <w:gridCol w:w="568"/>
        <w:gridCol w:w="681"/>
        <w:gridCol w:w="455"/>
        <w:gridCol w:w="568"/>
        <w:gridCol w:w="568"/>
        <w:gridCol w:w="568"/>
        <w:gridCol w:w="568"/>
        <w:gridCol w:w="6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3795" w:type="dxa"/>
            <w:gridSpan w:val="5"/>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行政复议</w:t>
            </w:r>
          </w:p>
        </w:tc>
        <w:tc>
          <w:tcPr>
            <w:tcW w:w="5782" w:type="dxa"/>
            <w:gridSpan w:val="10"/>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行政诉讼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5" w:type="dxa"/>
            <w:vMerge w:val="restart"/>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结果维护</w:t>
            </w:r>
          </w:p>
        </w:tc>
        <w:tc>
          <w:tcPr>
            <w:tcW w:w="780" w:type="dxa"/>
            <w:vMerge w:val="restart"/>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结果纠正</w:t>
            </w:r>
          </w:p>
        </w:tc>
        <w:tc>
          <w:tcPr>
            <w:tcW w:w="705" w:type="dxa"/>
            <w:vMerge w:val="restart"/>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其他结果</w:t>
            </w:r>
          </w:p>
        </w:tc>
        <w:tc>
          <w:tcPr>
            <w:tcW w:w="780" w:type="dxa"/>
            <w:vMerge w:val="restart"/>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尚未审结</w:t>
            </w:r>
          </w:p>
        </w:tc>
        <w:tc>
          <w:tcPr>
            <w:tcW w:w="765" w:type="dxa"/>
            <w:vMerge w:val="restart"/>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总计</w:t>
            </w:r>
          </w:p>
        </w:tc>
        <w:tc>
          <w:tcPr>
            <w:tcW w:w="2840" w:type="dxa"/>
            <w:gridSpan w:val="5"/>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color w:val="333333"/>
                <w:sz w:val="24"/>
                <w:shd w:val="clear" w:color="auto" w:fill="FFFFFF"/>
              </w:rPr>
              <w:t>未经复议直接起诉</w:t>
            </w:r>
          </w:p>
        </w:tc>
        <w:tc>
          <w:tcPr>
            <w:tcW w:w="2942" w:type="dxa"/>
            <w:gridSpan w:val="5"/>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复议后起诉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5" w:type="dxa"/>
            <w:vMerge w:val="continue"/>
            <w:shd w:val="clear" w:color="auto" w:fill="auto"/>
            <w:vAlign w:val="center"/>
          </w:tcPr>
          <w:p>
            <w:pPr>
              <w:spacing w:line="540" w:lineRule="exact"/>
              <w:jc w:val="center"/>
              <w:rPr>
                <w:rFonts w:ascii="仿宋" w:hAnsi="仿宋" w:eastAsia="仿宋" w:cs="仿宋"/>
                <w:sz w:val="24"/>
              </w:rPr>
            </w:pPr>
          </w:p>
        </w:tc>
        <w:tc>
          <w:tcPr>
            <w:tcW w:w="780" w:type="dxa"/>
            <w:vMerge w:val="continue"/>
            <w:shd w:val="clear" w:color="auto" w:fill="auto"/>
            <w:vAlign w:val="center"/>
          </w:tcPr>
          <w:p>
            <w:pPr>
              <w:spacing w:line="540" w:lineRule="exact"/>
              <w:jc w:val="center"/>
              <w:rPr>
                <w:rFonts w:ascii="仿宋" w:hAnsi="仿宋" w:eastAsia="仿宋" w:cs="仿宋"/>
                <w:sz w:val="24"/>
              </w:rPr>
            </w:pPr>
          </w:p>
        </w:tc>
        <w:tc>
          <w:tcPr>
            <w:tcW w:w="705" w:type="dxa"/>
            <w:vMerge w:val="continue"/>
            <w:shd w:val="clear" w:color="auto" w:fill="auto"/>
            <w:vAlign w:val="center"/>
          </w:tcPr>
          <w:p>
            <w:pPr>
              <w:spacing w:line="540" w:lineRule="exact"/>
              <w:jc w:val="center"/>
              <w:rPr>
                <w:rFonts w:ascii="仿宋" w:hAnsi="仿宋" w:eastAsia="仿宋" w:cs="仿宋"/>
                <w:sz w:val="24"/>
              </w:rPr>
            </w:pPr>
          </w:p>
        </w:tc>
        <w:tc>
          <w:tcPr>
            <w:tcW w:w="780" w:type="dxa"/>
            <w:vMerge w:val="continue"/>
            <w:shd w:val="clear" w:color="auto" w:fill="auto"/>
            <w:vAlign w:val="center"/>
          </w:tcPr>
          <w:p>
            <w:pPr>
              <w:spacing w:line="540" w:lineRule="exact"/>
              <w:jc w:val="center"/>
              <w:rPr>
                <w:rFonts w:ascii="仿宋" w:hAnsi="仿宋" w:eastAsia="仿宋" w:cs="仿宋"/>
                <w:sz w:val="24"/>
              </w:rPr>
            </w:pPr>
          </w:p>
        </w:tc>
        <w:tc>
          <w:tcPr>
            <w:tcW w:w="765" w:type="dxa"/>
            <w:vMerge w:val="continue"/>
            <w:shd w:val="clear" w:color="auto" w:fill="auto"/>
            <w:vAlign w:val="center"/>
          </w:tcPr>
          <w:p>
            <w:pPr>
              <w:spacing w:line="540" w:lineRule="exact"/>
              <w:jc w:val="center"/>
              <w:rPr>
                <w:rFonts w:ascii="仿宋" w:hAnsi="仿宋" w:eastAsia="仿宋" w:cs="仿宋"/>
                <w:sz w:val="24"/>
              </w:rPr>
            </w:pPr>
          </w:p>
        </w:tc>
        <w:tc>
          <w:tcPr>
            <w:tcW w:w="568" w:type="dxa"/>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结果维护</w:t>
            </w:r>
          </w:p>
        </w:tc>
        <w:tc>
          <w:tcPr>
            <w:tcW w:w="568" w:type="dxa"/>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结果纠正</w:t>
            </w:r>
          </w:p>
        </w:tc>
        <w:tc>
          <w:tcPr>
            <w:tcW w:w="568" w:type="dxa"/>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其他结果</w:t>
            </w:r>
          </w:p>
        </w:tc>
        <w:tc>
          <w:tcPr>
            <w:tcW w:w="681" w:type="dxa"/>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尚未审结</w:t>
            </w:r>
          </w:p>
        </w:tc>
        <w:tc>
          <w:tcPr>
            <w:tcW w:w="455" w:type="dxa"/>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总计</w:t>
            </w:r>
          </w:p>
        </w:tc>
        <w:tc>
          <w:tcPr>
            <w:tcW w:w="568" w:type="dxa"/>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结果维护</w:t>
            </w:r>
          </w:p>
        </w:tc>
        <w:tc>
          <w:tcPr>
            <w:tcW w:w="568" w:type="dxa"/>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结果纠正</w:t>
            </w:r>
          </w:p>
        </w:tc>
        <w:tc>
          <w:tcPr>
            <w:tcW w:w="568" w:type="dxa"/>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其他结果</w:t>
            </w:r>
          </w:p>
        </w:tc>
        <w:tc>
          <w:tcPr>
            <w:tcW w:w="568" w:type="dxa"/>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尚未审结</w:t>
            </w:r>
          </w:p>
        </w:tc>
        <w:tc>
          <w:tcPr>
            <w:tcW w:w="670" w:type="dxa"/>
            <w:shd w:val="clear" w:color="auto" w:fill="auto"/>
            <w:vAlign w:val="center"/>
          </w:tcPr>
          <w:p>
            <w:pPr>
              <w:spacing w:line="540" w:lineRule="exact"/>
              <w:jc w:val="center"/>
              <w:rPr>
                <w:rFonts w:ascii="仿宋" w:hAnsi="仿宋" w:eastAsia="仿宋" w:cs="仿宋"/>
                <w:sz w:val="24"/>
              </w:rPr>
            </w:pPr>
            <w:r>
              <w:rPr>
                <w:rFonts w:hint="eastAsia" w:ascii="仿宋" w:hAnsi="仿宋" w:eastAsia="仿宋" w:cs="仿宋"/>
                <w:sz w:val="24"/>
              </w:rPr>
              <w:t>总计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765" w:type="dxa"/>
            <w:shd w:val="clear" w:color="auto" w:fill="auto"/>
          </w:tcPr>
          <w:p>
            <w:pPr>
              <w:spacing w:line="540" w:lineRule="exact"/>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780" w:type="dxa"/>
            <w:shd w:val="clear" w:color="auto" w:fill="auto"/>
          </w:tcPr>
          <w:p>
            <w:pPr>
              <w:spacing w:line="540" w:lineRule="exact"/>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705" w:type="dxa"/>
            <w:shd w:val="clear" w:color="auto" w:fill="auto"/>
          </w:tcPr>
          <w:p>
            <w:pPr>
              <w:spacing w:line="540" w:lineRule="exact"/>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780" w:type="dxa"/>
            <w:shd w:val="clear" w:color="auto" w:fill="auto"/>
          </w:tcPr>
          <w:p>
            <w:pPr>
              <w:spacing w:line="540" w:lineRule="exact"/>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765" w:type="dxa"/>
            <w:shd w:val="clear" w:color="auto" w:fill="auto"/>
          </w:tcPr>
          <w:p>
            <w:pPr>
              <w:spacing w:line="540" w:lineRule="exact"/>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568" w:type="dxa"/>
            <w:shd w:val="clear" w:color="auto" w:fill="auto"/>
          </w:tcPr>
          <w:p>
            <w:pPr>
              <w:spacing w:line="540" w:lineRule="exact"/>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568" w:type="dxa"/>
            <w:shd w:val="clear" w:color="auto" w:fill="auto"/>
          </w:tcPr>
          <w:p>
            <w:pPr>
              <w:spacing w:line="540" w:lineRule="exact"/>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568" w:type="dxa"/>
            <w:shd w:val="clear" w:color="auto" w:fill="auto"/>
          </w:tcPr>
          <w:p>
            <w:pPr>
              <w:spacing w:line="540" w:lineRule="exact"/>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81" w:type="dxa"/>
            <w:shd w:val="clear" w:color="auto" w:fill="auto"/>
          </w:tcPr>
          <w:p>
            <w:pPr>
              <w:spacing w:line="540" w:lineRule="exact"/>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455" w:type="dxa"/>
            <w:shd w:val="clear" w:color="auto" w:fill="auto"/>
          </w:tcPr>
          <w:p>
            <w:pPr>
              <w:spacing w:line="540" w:lineRule="exact"/>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568" w:type="dxa"/>
            <w:shd w:val="clear" w:color="auto" w:fill="auto"/>
          </w:tcPr>
          <w:p>
            <w:pPr>
              <w:spacing w:line="540" w:lineRule="exact"/>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568" w:type="dxa"/>
            <w:shd w:val="clear" w:color="auto" w:fill="auto"/>
          </w:tcPr>
          <w:p>
            <w:pPr>
              <w:spacing w:line="540" w:lineRule="exact"/>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568" w:type="dxa"/>
            <w:shd w:val="clear" w:color="auto" w:fill="auto"/>
          </w:tcPr>
          <w:p>
            <w:pPr>
              <w:spacing w:line="540" w:lineRule="exact"/>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568" w:type="dxa"/>
            <w:shd w:val="clear" w:color="auto" w:fill="auto"/>
          </w:tcPr>
          <w:p>
            <w:pPr>
              <w:spacing w:line="540" w:lineRule="exact"/>
              <w:rPr>
                <w:rFonts w:hint="eastAsia" w:ascii="仿宋" w:hAnsi="仿宋" w:eastAsia="仿宋" w:cs="仿宋"/>
                <w:sz w:val="24"/>
                <w:lang w:val="en-US" w:eastAsia="zh-CN"/>
              </w:rPr>
            </w:pPr>
            <w:r>
              <w:rPr>
                <w:rFonts w:hint="eastAsia" w:ascii="仿宋" w:hAnsi="仿宋" w:eastAsia="仿宋" w:cs="仿宋"/>
                <w:sz w:val="24"/>
                <w:lang w:val="en-US" w:eastAsia="zh-CN"/>
              </w:rPr>
              <w:t>0</w:t>
            </w:r>
          </w:p>
        </w:tc>
        <w:tc>
          <w:tcPr>
            <w:tcW w:w="670" w:type="dxa"/>
            <w:shd w:val="clear" w:color="auto" w:fill="auto"/>
          </w:tcPr>
          <w:p>
            <w:pPr>
              <w:spacing w:line="540" w:lineRule="exact"/>
              <w:rPr>
                <w:rFonts w:hint="eastAsia" w:ascii="仿宋" w:hAnsi="仿宋" w:eastAsia="仿宋" w:cs="仿宋"/>
                <w:sz w:val="24"/>
                <w:lang w:val="en-US" w:eastAsia="zh-CN"/>
              </w:rPr>
            </w:pPr>
            <w:r>
              <w:rPr>
                <w:rFonts w:hint="eastAsia" w:ascii="仿宋" w:hAnsi="仿宋" w:eastAsia="仿宋" w:cs="仿宋"/>
                <w:sz w:val="24"/>
                <w:lang w:val="en-US" w:eastAsia="zh-CN"/>
              </w:rPr>
              <w:t>0</w:t>
            </w:r>
          </w:p>
        </w:tc>
      </w:tr>
    </w:tbl>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highlight w:val="none"/>
          <w:lang w:val="en-US" w:eastAsia="zh-CN"/>
        </w:rPr>
      </w:pPr>
      <w:r>
        <w:rPr>
          <w:rFonts w:hint="eastAsia" w:ascii="黑体" w:hAnsi="黑体" w:eastAsia="黑体" w:cs="黑体"/>
          <w:sz w:val="32"/>
          <w:szCs w:val="32"/>
          <w:highlight w:val="none"/>
          <w:lang w:val="en-US" w:eastAsia="zh-CN"/>
        </w:rPr>
        <w:t>五、政府信息公开工作存在的主要问题及改进情况</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存在的主要问题：</w:t>
      </w:r>
      <w:r>
        <w:rPr>
          <w:rFonts w:hint="eastAsia" w:ascii="仿宋_GB2312" w:hAnsi="仿宋_GB2312" w:eastAsia="仿宋_GB2312" w:cs="仿宋_GB2312"/>
          <w:b/>
          <w:bCs/>
          <w:sz w:val="32"/>
          <w:szCs w:val="32"/>
        </w:rPr>
        <w:t>一是</w:t>
      </w:r>
      <w:r>
        <w:rPr>
          <w:rFonts w:hint="eastAsia" w:ascii="仿宋_GB2312" w:hAnsi="仿宋_GB2312" w:eastAsia="仿宋_GB2312" w:cs="仿宋_GB2312"/>
          <w:sz w:val="32"/>
          <w:szCs w:val="32"/>
        </w:rPr>
        <w:t>政府信息公开工作队伍力量还比较薄弱，工作机制和制度不够完善。</w:t>
      </w:r>
      <w:r>
        <w:rPr>
          <w:rFonts w:hint="eastAsia" w:ascii="仿宋_GB2312" w:hAnsi="仿宋_GB2312" w:eastAsia="仿宋_GB2312" w:cs="仿宋_GB2312"/>
          <w:b/>
          <w:bCs/>
          <w:sz w:val="32"/>
          <w:szCs w:val="32"/>
        </w:rPr>
        <w:t>二是</w:t>
      </w:r>
      <w:r>
        <w:rPr>
          <w:rFonts w:hint="eastAsia" w:ascii="仿宋_GB2312" w:hAnsi="仿宋_GB2312" w:eastAsia="仿宋_GB2312" w:cs="仿宋_GB2312"/>
          <w:sz w:val="32"/>
          <w:szCs w:val="32"/>
        </w:rPr>
        <w:t>依法主动公开意识有待增强，少数工作人员对政府信息公开工作的重要性认识不足，与负责信息公开工作的同志就稿件发布的对接沟通频次不高，导致发布进程较慢。</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 改进情况：</w:t>
      </w:r>
      <w:r>
        <w:rPr>
          <w:rFonts w:hint="eastAsia" w:ascii="仿宋_GB2312" w:hAnsi="仿宋_GB2312" w:eastAsia="仿宋_GB2312" w:cs="仿宋_GB2312"/>
          <w:b/>
          <w:bCs/>
          <w:sz w:val="32"/>
          <w:szCs w:val="32"/>
        </w:rPr>
        <w:t>一是</w:t>
      </w:r>
      <w:r>
        <w:rPr>
          <w:rFonts w:hint="eastAsia" w:ascii="仿宋_GB2312" w:hAnsi="仿宋_GB2312" w:eastAsia="仿宋_GB2312" w:cs="仿宋_GB2312"/>
          <w:sz w:val="32"/>
          <w:szCs w:val="32"/>
        </w:rPr>
        <w:t>建强工作机制。适当增加政务公开工作人员，强化信息公开队伍建设，进一步健全政府信息公开工作机制，及时、主动、全面、准确的发布信息。</w:t>
      </w:r>
      <w:r>
        <w:rPr>
          <w:rFonts w:hint="eastAsia" w:ascii="仿宋_GB2312" w:hAnsi="仿宋_GB2312" w:eastAsia="仿宋_GB2312" w:cs="仿宋_GB2312"/>
          <w:b/>
          <w:bCs/>
          <w:sz w:val="32"/>
          <w:szCs w:val="32"/>
        </w:rPr>
        <w:t>二是</w:t>
      </w:r>
      <w:r>
        <w:rPr>
          <w:rFonts w:hint="eastAsia" w:ascii="仿宋_GB2312" w:hAnsi="仿宋_GB2312" w:eastAsia="仿宋_GB2312" w:cs="仿宋_GB2312"/>
          <w:sz w:val="32"/>
          <w:szCs w:val="32"/>
        </w:rPr>
        <w:t>加强培训宣传。提高全局干职工对政府信息公开工作重要性的认识，转变观念，消除认识上的误区和片面性，使发布工作衔接更为顺畅，将政府信息公开与业务工作更好地结合起来。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sz w:val="32"/>
          <w:szCs w:val="32"/>
          <w:highlight w:val="none"/>
          <w:lang w:val="en-US" w:eastAsia="zh-CN"/>
        </w:rPr>
      </w:pPr>
      <w:bookmarkStart w:id="0" w:name="_GoBack"/>
      <w:bookmarkEnd w:id="0"/>
      <w:r>
        <w:rPr>
          <w:rFonts w:hint="eastAsia" w:ascii="黑体" w:hAnsi="黑体" w:eastAsia="黑体" w:cs="黑体"/>
          <w:sz w:val="32"/>
          <w:szCs w:val="32"/>
          <w:highlight w:val="none"/>
          <w:lang w:val="en-US" w:eastAsia="zh-CN"/>
        </w:rPr>
        <w:t>六、其他需要报告的事项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highlight w:val="none"/>
          <w:lang w:val="en-US" w:eastAsia="zh-CN"/>
        </w:rPr>
      </w:pPr>
      <w:r>
        <w:rPr>
          <w:rFonts w:hint="eastAsia" w:ascii="仿宋_GB2312" w:hAnsi="仿宋_GB2312" w:eastAsia="仿宋_GB2312" w:cs="仿宋_GB2312"/>
          <w:sz w:val="32"/>
          <w:szCs w:val="32"/>
          <w:highlight w:val="none"/>
          <w:lang w:val="en-US" w:eastAsia="zh-CN"/>
        </w:rPr>
        <w:t>本单位2021年度</w:t>
      </w:r>
      <w:r>
        <w:rPr>
          <w:rFonts w:hint="eastAsia" w:ascii="仿宋_GB2312" w:hAnsi="仿宋_GB2312" w:eastAsia="仿宋_GB2312" w:cs="仿宋_GB2312"/>
          <w:sz w:val="32"/>
          <w:szCs w:val="32"/>
          <w:highlight w:val="none"/>
        </w:rPr>
        <w:t>依据《政府信息公开信息处理费管理办法》收取信息处理费</w:t>
      </w:r>
      <w:r>
        <w:rPr>
          <w:rFonts w:hint="eastAsia" w:ascii="仿宋_GB2312" w:hAnsi="仿宋_GB2312" w:eastAsia="仿宋_GB2312" w:cs="仿宋_GB2312"/>
          <w:sz w:val="32"/>
          <w:szCs w:val="32"/>
          <w:highlight w:val="none"/>
          <w:lang w:val="en-US" w:eastAsia="zh-CN"/>
        </w:rPr>
        <w:t>0元。无其他</w:t>
      </w:r>
      <w:r>
        <w:rPr>
          <w:rFonts w:hint="eastAsia" w:ascii="仿宋_GB2312" w:hAnsi="仿宋_GB2312" w:eastAsia="仿宋_GB2312" w:cs="仿宋_GB2312"/>
          <w:sz w:val="32"/>
          <w:szCs w:val="32"/>
        </w:rPr>
        <w:t>需要报告的其他事项</w:t>
      </w:r>
      <w:r>
        <w:rPr>
          <w:rFonts w:hint="eastAsia" w:ascii="仿宋_GB2312" w:hAnsi="仿宋_GB2312" w:eastAsia="仿宋_GB2312" w:cs="仿宋_GB2312"/>
          <w:sz w:val="32"/>
          <w:szCs w:val="32"/>
          <w:lang w:eastAsia="zh-CN"/>
        </w:rPr>
        <w:t>。</w:t>
      </w:r>
    </w:p>
    <w:sectPr>
      <w:pgSz w:w="11906" w:h="16838"/>
      <w:pgMar w:top="1633" w:right="1440" w:bottom="1633" w:left="1440" w:header="851" w:footer="879" w:gutter="0"/>
      <w:pgNumType w:fmt="decimal" w:start="1"/>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楷体">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AyMzQxMWYxMzNiMWVjNTJjNmI2NTUzMjBlYTVkNmYifQ=="/>
  </w:docVars>
  <w:rsids>
    <w:rsidRoot w:val="12592305"/>
    <w:rsid w:val="0BDD3A8D"/>
    <w:rsid w:val="12592305"/>
    <w:rsid w:val="138C427D"/>
    <w:rsid w:val="19C70E69"/>
    <w:rsid w:val="38472599"/>
    <w:rsid w:val="3EC114C7"/>
    <w:rsid w:val="40A503F6"/>
    <w:rsid w:val="43EB27EA"/>
    <w:rsid w:val="5DB85211"/>
    <w:rsid w:val="77CA365A"/>
    <w:rsid w:val="782F10C5"/>
    <w:rsid w:val="7B630623"/>
    <w:rsid w:val="7E82078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paragraph" w:customStyle="1" w:styleId="5">
    <w:name w:val="二级标题"/>
    <w:basedOn w:val="1"/>
    <w:qFormat/>
    <w:uiPriority w:val="0"/>
    <w:pPr>
      <w:ind w:firstLine="640" w:firstLineChars="200"/>
    </w:pPr>
    <w:rPr>
      <w:rFonts w:hint="eastAsia" w:ascii="楷体" w:hAnsi="楷体" w:eastAsia="楷体" w:cs="楷体"/>
      <w:b/>
      <w:bCs/>
      <w:sz w:val="32"/>
      <w:szCs w:val="32"/>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2191</Words>
  <Characters>2312</Characters>
  <Lines>0</Lines>
  <Paragraphs>0</Paragraphs>
  <TotalTime>30</TotalTime>
  <ScaleCrop>false</ScaleCrop>
  <LinksUpToDate>false</LinksUpToDate>
  <CharactersWithSpaces>2321</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2022-01-04T07:35:00Z</dcterms:created>
  <dc:creator>辰宸城</dc:creator>
  <cp:lastModifiedBy>罗嘉</cp:lastModifiedBy>
  <dcterms:modified xsi:type="dcterms:W3CDTF">2023-02-21T01:27:04Z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E2C5E06F9883420395542E2EB33BD999</vt:lpwstr>
  </property>
</Properties>
</file>