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樟树市民政局2021年政府信息公开工作</w:t>
      </w:r>
    </w:p>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年度报告</w:t>
      </w:r>
    </w:p>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仿宋_GB2312" w:hAnsi="仿宋_GB2312" w:eastAsia="仿宋_GB2312" w:cs="仿宋_GB2312"/>
          <w:highlight w:val="none"/>
          <w:lang w:val="en-US" w:eastAsia="zh-CN"/>
        </w:rPr>
      </w:pP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樟树市民政局结合樟树市人民政府网站、樟树市政府信息公开平台等有关统计数据编制。本年度报告中所列数据的统计期限自2021年1月1日起至2021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民政局联系（地址：江西省樟树市杏佛路86号，电话：0795-7362496，邮编：331200）。</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default" w:ascii="黑体" w:hAnsi="黑体" w:eastAsia="黑体" w:cs="黑体"/>
          <w:b/>
          <w:bCs/>
          <w:lang w:val="en-US" w:eastAsia="zh-CN"/>
        </w:rPr>
      </w:pPr>
      <w:r>
        <w:rPr>
          <w:rFonts w:hint="eastAsia" w:ascii="黑体" w:hAnsi="黑体" w:eastAsia="黑体" w:cs="黑体"/>
          <w:b/>
          <w:bCs/>
          <w:lang w:val="en-US" w:eastAsia="zh-CN"/>
        </w:rPr>
        <w:t>一、总体情况</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2021年，市民政局坚持以习近平新时代中国特色社会主义思想为指导，深入贯彻党的十九大和十九届三中、四中、五中、六中全会精神，严格落实《国务院办公厅印发〈关于全面推进政务公开工作的意见〉实施细则的通知》（国办发〔2016〕80号）和《国务院办公厅关于印发2021年政务公开工作要点的通知》（国办发〔2021〕12号）的要求，全面执行省、宜春市和樟树市政府有关信息公开部署，立足民政职责，坚持以公开为常态、不公开为例外，扎实有序推进全市民政领域政府信息公开工作，充分发挥政府信息公开职能和效能，切实保障了人民群众的知情权、参与权、监督权，取得了良好的成效。</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按照《条例》要求，我局及时发布政府信息，不断改进工作作风，方便群众办事和监督。2021年，我局通过樟树市政府门户网站主动公开政府信息133条，其中政务动态37条，社会救助与社会福利信息公示47条，部门预决算信息10条，政策文件和政策解读16条，行政区划1条，公告公示10条、规划与计划4条、养老服务8条。</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建立健全政务舆情回应机制，调整相关领导小组成员名单，强化对民政领域的舆情监测收集、分析研判、处置回应、督办协调全流程管理，对全市城乡低保发放、特困人员供养金发放、养老服务等热点问题进行舆情评估，对舆情做到早预判、早评估、早准备、早应对。</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我局高度重视依申请公开工作，积极完善依申请公开管理，按照《规定》要求，在政府门户网站公开了依申请公开受理机构、受理时间、申请程序、监督方式、答复时限等方面的相关规定，公开了依申请公开流程图、依申请公开申请表等信息，全面规范依申请公开过程，提高了依申请公开办理制度化规范化水平。</w:t>
      </w:r>
    </w:p>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楷体" w:hAnsi="楷体" w:eastAsia="楷体" w:cs="楷体"/>
          <w:b/>
          <w:bCs/>
          <w:lang w:val="en-US" w:eastAsia="zh-CN"/>
        </w:rPr>
      </w:pPr>
      <w:r>
        <w:rPr>
          <w:rFonts w:hint="eastAsia" w:ascii="仿宋_GB2312" w:hAnsi="仿宋_GB2312" w:eastAsia="仿宋_GB2312" w:cs="仿宋_GB2312"/>
          <w:highlight w:val="none"/>
          <w:lang w:val="en-US" w:eastAsia="zh-CN"/>
        </w:rPr>
        <w:t>我局2021年共收到依申请公开信息1件，已参照《江西省政府信息依申请公开工作规范》及时办理，该申请件申请公开的内容为本单位不掌握的相关政府信息，已向申请人说明了理由，未引起行政复议或诉讼等情况。</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2021年度我局加大数据公开力度，规范信息审核发布机制，并及时进行规范性文件清理。健全了政府信息审查发布机制，对在门户网站公开的政府信息进行内容审核和保密审查，确保公开信息依法、及时、全面、准确和合理。</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eastAsia" w:ascii="楷体" w:hAnsi="楷体" w:eastAsia="楷体" w:cs="楷体"/>
          <w:b/>
          <w:bCs/>
          <w:lang w:val="en-US" w:eastAsia="zh-CN"/>
        </w:rPr>
      </w:pP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 xml:space="preserve">1.加强组织领导。按照上级有关要求， 我局先后召开4次专题会议，研究部署信息公开工作，明确主体责任， 有计划、有目标、分阶段地做好信息公开工作。 </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2.完善工作制度。为做好信息公开工作，我局指定专人负责信息公开工作，定期召开政府信息公开工作学习会议，要求全局干部职工加强对相关文件的学习，扎实推进政务公开工作顺利开展。</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3.开展政务新媒体清理。根据市政府要求，积极开展新媒体清理工作，经梳理，我局政务新媒体只有一个微博账号：江西省樟树市民政，目前已经成功注销。</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eastAsia" w:ascii="黑体" w:hAnsi="黑体" w:eastAsia="黑体" w:cs="黑体"/>
          <w:b/>
          <w:bCs/>
          <w:lang w:val="en-US" w:eastAsia="zh-CN"/>
        </w:rPr>
      </w:pPr>
      <w:r>
        <w:rPr>
          <w:rFonts w:hint="eastAsia" w:ascii="仿宋_GB2312" w:hAnsi="仿宋_GB2312" w:eastAsia="仿宋_GB2312" w:cs="仿宋_GB2312"/>
          <w:highlight w:val="none"/>
          <w:lang w:val="en-US" w:eastAsia="zh-CN"/>
        </w:rPr>
        <w:t>根据人员分工，及时调整市民政局政府信息公开工作领导小组，建立政府网站信息上传与审核发布责任制，所有公布的信息需经单位领导审阅签字后，再有办公室统一审核发布。及时查错纠错，针对网上依申请公开及时依规处理，全面提升我局政务公开质量。</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eastAsia" w:ascii="黑体" w:hAnsi="黑体" w:eastAsia="黑体" w:cs="黑体"/>
          <w:b/>
          <w:bCs/>
          <w:lang w:val="en-US" w:eastAsia="zh-CN"/>
        </w:rPr>
      </w:pPr>
      <w:r>
        <w:rPr>
          <w:rFonts w:hint="eastAsia" w:ascii="黑体" w:hAnsi="黑体" w:eastAsia="黑体" w:cs="黑体"/>
          <w:b/>
          <w:bCs/>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15"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505"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49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宋体"/>
                <w:b w:val="0"/>
                <w:bCs w:val="0"/>
                <w:sz w:val="24"/>
                <w:szCs w:val="24"/>
                <w:lang w:val="en-US" w:eastAsia="zh-CN"/>
              </w:rPr>
            </w:pPr>
            <w:r>
              <w:rPr>
                <w:rFonts w:hint="eastAsia" w:ascii="宋体"/>
                <w:b w:val="0"/>
                <w:bCs w:val="0"/>
                <w:sz w:val="24"/>
                <w:szCs w:val="24"/>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宋体"/>
                <w:b w:val="0"/>
                <w:bCs w:val="0"/>
                <w:sz w:val="24"/>
                <w:szCs w:val="24"/>
                <w:lang w:val="en-US" w:eastAsia="zh-CN"/>
              </w:rPr>
            </w:pPr>
            <w:r>
              <w:rPr>
                <w:rFonts w:hint="eastAsia" w:ascii="宋体"/>
                <w:b w:val="0"/>
                <w:bCs w:val="0"/>
                <w:sz w:val="24"/>
                <w:szCs w:val="24"/>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宋体"/>
                <w:b w:val="0"/>
                <w:bCs w:val="0"/>
                <w:sz w:val="24"/>
                <w:szCs w:val="24"/>
                <w:lang w:val="en-US" w:eastAsia="zh-CN"/>
              </w:rPr>
            </w:pPr>
            <w:r>
              <w:rPr>
                <w:rFonts w:hint="eastAsia" w:ascii="宋体"/>
                <w:b w:val="0"/>
                <w:bCs w:val="0"/>
                <w:sz w:val="24"/>
                <w:szCs w:val="24"/>
                <w:lang w:val="en-US" w:eastAsia="zh-CN"/>
              </w:rPr>
              <w:t>0</w:t>
            </w:r>
          </w:p>
        </w:tc>
      </w:tr>
      <w:tr>
        <w:tblPrEx>
          <w:shd w:val="clear" w:color="auto" w:fill="auto"/>
          <w:tblCellMar>
            <w:top w:w="0" w:type="dxa"/>
            <w:left w:w="0" w:type="dxa"/>
            <w:bottom w:w="0" w:type="dxa"/>
            <w:right w:w="0" w:type="dxa"/>
          </w:tblCellMar>
        </w:tblPrEx>
        <w:trPr>
          <w:trHeight w:val="40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center"/>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宋体"/>
                <w:b w:val="0"/>
                <w:bCs w:val="0"/>
                <w:sz w:val="24"/>
                <w:szCs w:val="24"/>
                <w:lang w:val="en-US" w:eastAsia="zh-CN"/>
              </w:rPr>
            </w:pPr>
            <w:r>
              <w:rPr>
                <w:rFonts w:hint="eastAsia" w:ascii="宋体"/>
                <w:b w:val="0"/>
                <w:bCs w:val="0"/>
                <w:sz w:val="24"/>
                <w:szCs w:val="24"/>
                <w:lang w:val="en-US" w:eastAsia="zh-CN"/>
              </w:rPr>
              <w:t>2</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宋体"/>
                <w:b w:val="0"/>
                <w:bCs w:val="0"/>
                <w:sz w:val="24"/>
                <w:szCs w:val="24"/>
                <w:lang w:val="en-US" w:eastAsia="zh-CN"/>
              </w:rPr>
            </w:pPr>
            <w:r>
              <w:rPr>
                <w:rFonts w:hint="eastAsia" w:ascii="宋体"/>
                <w:b w:val="0"/>
                <w:bCs w:val="0"/>
                <w:sz w:val="24"/>
                <w:szCs w:val="24"/>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宋体"/>
                <w:b w:val="0"/>
                <w:bCs w:val="0"/>
                <w:sz w:val="24"/>
                <w:szCs w:val="24"/>
                <w:lang w:val="en-US" w:eastAsia="zh-CN"/>
              </w:rPr>
            </w:pPr>
            <w:r>
              <w:rPr>
                <w:rFonts w:hint="eastAsia" w:ascii="宋体"/>
                <w:b w:val="0"/>
                <w:bCs w:val="0"/>
                <w:sz w:val="24"/>
                <w:szCs w:val="24"/>
                <w:lang w:val="en-US" w:eastAsia="zh-CN"/>
              </w:rPr>
              <w:t>2</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55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9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default" w:eastAsia="仿宋"/>
                <w:lang w:val="en-US" w:eastAsia="zh-CN"/>
              </w:rPr>
            </w:pPr>
            <w:r>
              <w:rPr>
                <w:rFonts w:hint="eastAsia" w:ascii="宋体"/>
                <w:b w:val="0"/>
                <w:bCs w:val="0"/>
                <w:sz w:val="24"/>
                <w:szCs w:val="24"/>
                <w:lang w:val="en-US" w:eastAsia="zh-CN"/>
              </w:rPr>
              <w:t>36</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宋体"/>
                <w:b w:val="0"/>
                <w:bCs w:val="0"/>
                <w:sz w:val="24"/>
                <w:szCs w:val="24"/>
                <w:lang w:val="en-US" w:eastAsia="zh-CN"/>
              </w:rPr>
            </w:pPr>
            <w:r>
              <w:rPr>
                <w:rFonts w:hint="eastAsia" w:ascii="宋体"/>
                <w:b w:val="0"/>
                <w:bCs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宋体"/>
                <w:b w:val="0"/>
                <w:bCs w:val="0"/>
                <w:sz w:val="24"/>
                <w:szCs w:val="24"/>
                <w:lang w:val="en-US" w:eastAsia="zh-CN"/>
              </w:rPr>
            </w:pPr>
            <w:r>
              <w:rPr>
                <w:rFonts w:hint="eastAsia" w:ascii="宋体"/>
                <w:b w:val="0"/>
                <w:bCs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57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center"/>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default" w:ascii="宋体" w:eastAsia="仿宋"/>
                <w:sz w:val="24"/>
                <w:szCs w:val="24"/>
                <w:lang w:val="en-US" w:eastAsia="zh-CN"/>
              </w:rPr>
            </w:pPr>
            <w:r>
              <w:rPr>
                <w:rFonts w:hint="eastAsia" w:ascii="宋体"/>
                <w:sz w:val="24"/>
                <w:szCs w:val="24"/>
                <w:lang w:val="en-US" w:eastAsia="zh-CN"/>
              </w:rPr>
              <w:t>692.53</w:t>
            </w:r>
          </w:p>
        </w:tc>
      </w:tr>
    </w:tbl>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eastAsia" w:ascii="黑体" w:hAnsi="黑体" w:eastAsia="黑体" w:cs="黑体"/>
          <w:b/>
          <w:bCs/>
          <w:lang w:val="en-US" w:eastAsia="zh-CN"/>
        </w:rPr>
      </w:pP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default" w:ascii="黑体" w:hAnsi="黑体" w:eastAsia="黑体" w:cs="黑体"/>
          <w:b/>
          <w:bCs/>
          <w:lang w:val="en-US" w:eastAsia="zh-CN"/>
        </w:rPr>
      </w:pPr>
      <w:r>
        <w:rPr>
          <w:rFonts w:hint="eastAsia" w:ascii="黑体" w:hAnsi="黑体" w:eastAsia="黑体" w:cs="黑体"/>
          <w:b/>
          <w:bCs/>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759"/>
        <w:gridCol w:w="600"/>
        <w:gridCol w:w="596"/>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5" w:hRule="atLeast"/>
          <w:jc w:val="center"/>
        </w:trPr>
        <w:tc>
          <w:tcPr>
            <w:tcW w:w="441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463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41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600"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center"/>
              <w:textAlignment w:val="auto"/>
              <w:outlineLvl w:val="9"/>
            </w:pPr>
            <w:r>
              <w:rPr>
                <w:rFonts w:hint="eastAsia" w:ascii="宋体" w:hAnsi="宋体" w:eastAsia="宋体" w:cs="宋体"/>
                <w:kern w:val="0"/>
                <w:sz w:val="20"/>
                <w:szCs w:val="20"/>
                <w:lang w:val="en-US" w:eastAsia="zh-CN" w:bidi="ar"/>
              </w:rPr>
              <w:t>自然人</w:t>
            </w:r>
          </w:p>
        </w:tc>
        <w:tc>
          <w:tcPr>
            <w:tcW w:w="3348"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425" w:hRule="atLeast"/>
          <w:jc w:val="center"/>
        </w:trPr>
        <w:tc>
          <w:tcPr>
            <w:tcW w:w="441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600"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eastAsia" w:ascii="宋体"/>
                <w:sz w:val="24"/>
                <w:szCs w:val="24"/>
              </w:rPr>
            </w:pP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5" w:hRule="atLeast"/>
          <w:jc w:val="center"/>
        </w:trPr>
        <w:tc>
          <w:tcPr>
            <w:tcW w:w="441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41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三、本年度办理结果</w:t>
            </w:r>
          </w:p>
        </w:tc>
        <w:tc>
          <w:tcPr>
            <w:tcW w:w="359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（一）予以公开</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20"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359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（二）部分公开（区分处理的，只计这一情形，不计其他情形）</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5"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（三）不予公开</w:t>
            </w:r>
          </w:p>
        </w:tc>
        <w:tc>
          <w:tcPr>
            <w:tcW w:w="27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1.属于国家秘密</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27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2.其他法律行政法规禁止公开</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5"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27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3.危及“三安全一稳定”</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27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4.保护第三方合法权益</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27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5.属于三类内部事务信息</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5"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27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6.属于四类过程性信息</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45"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27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7.属于行政执法案卷</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5"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27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8.属于行政查询事项</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（四）无法提供</w:t>
            </w:r>
          </w:p>
        </w:tc>
        <w:tc>
          <w:tcPr>
            <w:tcW w:w="27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1.本机关不掌握相关政府信息</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50"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27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2.没有现成信息需要另行制作</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27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3.补正后申请内容仍不明确</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（五）不予处理</w:t>
            </w:r>
          </w:p>
        </w:tc>
        <w:tc>
          <w:tcPr>
            <w:tcW w:w="27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1.信访举报投诉类申请</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27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2.重复申请</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27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3.要求提供公开出版物</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27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4.无正当理由大量反复申请</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275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0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（六）其他处理</w:t>
            </w:r>
          </w:p>
        </w:tc>
        <w:tc>
          <w:tcPr>
            <w:tcW w:w="27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27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275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firstLine="0" w:firstLineChars="0"/>
              <w:jc w:val="both"/>
              <w:textAlignment w:val="auto"/>
              <w:outlineLvl w:val="9"/>
            </w:pPr>
            <w:r>
              <w:rPr>
                <w:rFonts w:hint="eastAsia" w:ascii="宋体" w:hAnsi="宋体" w:eastAsia="宋体" w:cs="宋体"/>
                <w:kern w:val="0"/>
                <w:sz w:val="20"/>
                <w:szCs w:val="20"/>
                <w:lang w:val="en-US" w:eastAsia="zh-CN" w:bidi="ar"/>
              </w:rPr>
              <w:t>3.其他</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both"/>
              <w:textAlignment w:val="auto"/>
              <w:outlineLvl w:val="9"/>
              <w:rPr>
                <w:rFonts w:hint="eastAsia" w:ascii="宋体"/>
                <w:sz w:val="24"/>
                <w:szCs w:val="24"/>
              </w:rPr>
            </w:pPr>
          </w:p>
        </w:tc>
        <w:tc>
          <w:tcPr>
            <w:tcW w:w="359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both"/>
              <w:textAlignment w:val="auto"/>
              <w:outlineLvl w:val="9"/>
            </w:pPr>
            <w:r>
              <w:rPr>
                <w:rFonts w:hint="eastAsia" w:ascii="宋体" w:hAnsi="宋体" w:eastAsia="宋体" w:cs="宋体"/>
                <w:kern w:val="0"/>
                <w:sz w:val="20"/>
                <w:szCs w:val="20"/>
                <w:lang w:val="en-US" w:eastAsia="zh-CN" w:bidi="ar"/>
              </w:rPr>
              <w:t>（七）总计</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41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both"/>
              <w:textAlignment w:val="auto"/>
              <w:outlineLvl w:val="9"/>
            </w:pPr>
            <w:r>
              <w:rPr>
                <w:rFonts w:hint="eastAsia" w:ascii="宋体" w:hAnsi="宋体" w:eastAsia="宋体" w:cs="宋体"/>
                <w:kern w:val="0"/>
                <w:sz w:val="20"/>
                <w:szCs w:val="20"/>
                <w:lang w:val="en-US" w:eastAsia="zh-CN" w:bidi="ar"/>
              </w:rPr>
              <w:t>四、结转下年度继续办理</w:t>
            </w:r>
          </w:p>
        </w:tc>
        <w:tc>
          <w:tcPr>
            <w:tcW w:w="6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kinsoku/>
        <w:wordWrap/>
        <w:overflowPunct/>
        <w:topLinePunct w:val="0"/>
        <w:autoSpaceDE/>
        <w:autoSpaceDN/>
        <w:bidi w:val="0"/>
        <w:adjustRightInd/>
        <w:snapToGrid/>
        <w:spacing w:line="500" w:lineRule="exact"/>
        <w:ind w:firstLine="592" w:firstLineChars="200"/>
        <w:jc w:val="both"/>
        <w:textAlignment w:val="auto"/>
        <w:outlineLvl w:val="9"/>
        <w:rPr>
          <w:rFonts w:hint="eastAsia" w:ascii="黑体" w:hAnsi="黑体" w:eastAsia="黑体" w:cs="黑体"/>
          <w:b/>
          <w:bCs/>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00" w:lineRule="exact"/>
        <w:ind w:firstLine="568" w:firstLineChars="200"/>
        <w:jc w:val="both"/>
        <w:textAlignment w:val="auto"/>
        <w:outlineLvl w:val="9"/>
        <w:rPr>
          <w:rFonts w:hint="default" w:ascii="黑体" w:hAnsi="黑体" w:eastAsia="黑体" w:cs="黑体"/>
          <w:b/>
          <w:bCs/>
          <w:w w:val="90"/>
          <w:sz w:val="32"/>
          <w:szCs w:val="32"/>
          <w:lang w:val="en-US" w:eastAsia="zh-CN"/>
        </w:rPr>
      </w:pPr>
      <w:r>
        <w:rPr>
          <w:rFonts w:hint="eastAsia" w:ascii="黑体" w:hAnsi="黑体" w:eastAsia="黑体" w:cs="黑体"/>
          <w:b/>
          <w:bCs/>
          <w:w w:val="90"/>
          <w:sz w:val="32"/>
          <w:szCs w:val="32"/>
          <w:lang w:val="en-US" w:eastAsia="zh-CN"/>
        </w:rPr>
        <w:t>四、因政府信息公开工作被申请行政复议、提起行政诉讼情况</w:t>
      </w:r>
    </w:p>
    <w:tbl>
      <w:tblPr>
        <w:tblStyle w:val="6"/>
        <w:tblW w:w="9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497"/>
        <w:gridCol w:w="619"/>
        <w:gridCol w:w="619"/>
        <w:gridCol w:w="619"/>
        <w:gridCol w:w="619"/>
        <w:gridCol w:w="619"/>
        <w:gridCol w:w="619"/>
        <w:gridCol w:w="619"/>
        <w:gridCol w:w="619"/>
        <w:gridCol w:w="619"/>
        <w:gridCol w:w="619"/>
        <w:gridCol w:w="619"/>
        <w:gridCol w:w="620"/>
        <w:gridCol w:w="620"/>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2973" w:type="dxa"/>
            <w:gridSpan w:val="5"/>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b/>
                <w:bCs/>
                <w:kern w:val="0"/>
                <w:sz w:val="20"/>
                <w:szCs w:val="20"/>
                <w:lang w:val="en-US" w:eastAsia="zh-CN" w:bidi="ar"/>
              </w:rPr>
            </w:pPr>
            <w:r>
              <w:rPr>
                <w:rFonts w:hint="eastAsia" w:ascii="宋体" w:hAnsi="宋体" w:eastAsia="宋体" w:cs="宋体"/>
                <w:b/>
                <w:bCs/>
                <w:kern w:val="0"/>
                <w:sz w:val="20"/>
                <w:szCs w:val="20"/>
                <w:lang w:val="en-US" w:eastAsia="zh-CN" w:bidi="ar"/>
              </w:rPr>
              <w:t>行政复议</w:t>
            </w:r>
          </w:p>
        </w:tc>
        <w:tc>
          <w:tcPr>
            <w:tcW w:w="6118" w:type="dxa"/>
            <w:gridSpan w:val="10"/>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b/>
                <w:bCs/>
                <w:kern w:val="0"/>
                <w:sz w:val="20"/>
                <w:szCs w:val="20"/>
                <w:lang w:val="en-US" w:eastAsia="zh-CN" w:bidi="ar"/>
              </w:rPr>
            </w:pPr>
            <w:r>
              <w:rPr>
                <w:rFonts w:hint="eastAsia" w:ascii="宋体" w:hAnsi="宋体" w:eastAsia="宋体" w:cs="宋体"/>
                <w:b/>
                <w:bCs/>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497"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23" w:type="dxa"/>
            <w:gridSpan w:val="5"/>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49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54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497"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545"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eastAsia" w:ascii="黑体" w:hAnsi="黑体" w:eastAsia="黑体" w:cs="黑体"/>
          <w:b/>
          <w:bCs/>
          <w:lang w:val="en-US" w:eastAsia="zh-CN"/>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黑体" w:hAnsi="黑体" w:eastAsia="黑体" w:cs="黑体"/>
          <w:b/>
          <w:bCs/>
          <w:lang w:val="en-US" w:eastAsia="zh-CN"/>
        </w:rPr>
      </w:pP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default" w:ascii="黑体" w:hAnsi="黑体" w:eastAsia="黑体" w:cs="黑体"/>
          <w:b/>
          <w:bCs/>
          <w:lang w:val="en-US" w:eastAsia="zh-CN"/>
        </w:rPr>
      </w:pPr>
      <w:r>
        <w:rPr>
          <w:rFonts w:hint="eastAsia" w:ascii="黑体" w:hAnsi="黑体" w:eastAsia="黑体" w:cs="黑体"/>
          <w:b/>
          <w:bCs/>
          <w:lang w:val="en-US" w:eastAsia="zh-CN"/>
        </w:rPr>
        <w:t>五、政府信息公开工作存在的主要问题及改进情况</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2021年，我局政务信息公开工作虽取得一定成效，但是仍有许多不足：公开的内容上有待进一步丰富；形式上也有待进一步完善；信息公开上仍有一定的盲区，且时效性也要进一步加强。下步我局将从以下方面着力改进：</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32" w:firstLineChars="200"/>
        <w:jc w:val="both"/>
        <w:textAlignment w:val="auto"/>
        <w:rPr>
          <w:rFonts w:hint="eastAsia" w:ascii="仿宋_GB2312" w:hAnsi="仿宋_GB2312" w:eastAsia="仿宋_GB2312" w:cs="仿宋_GB2312"/>
          <w:lang w:val="en-US" w:eastAsia="zh-CN"/>
        </w:rPr>
      </w:pPr>
      <w:r>
        <w:rPr>
          <w:rFonts w:hint="eastAsia" w:ascii="楷体" w:hAnsi="楷体" w:eastAsia="楷体" w:cs="楷体"/>
          <w:b/>
          <w:bCs/>
          <w:lang w:val="en-US" w:eastAsia="zh-CN"/>
        </w:rPr>
        <w:t>（一）充实公开内容。</w:t>
      </w:r>
      <w:r>
        <w:rPr>
          <w:rFonts w:hint="eastAsia" w:ascii="仿宋_GB2312" w:hAnsi="仿宋_GB2312" w:eastAsia="仿宋_GB2312" w:cs="仿宋_GB2312"/>
          <w:lang w:val="en-US" w:eastAsia="zh-CN"/>
        </w:rPr>
        <w:t>按照“以公开为原则，不公开为例外”的总体要求，进一步做好公开和免予公开两类政府信息的界定，完善主动公开的政府信息目录。加强对公众关注度高的政府信息的梳理，充分征求公众意见，推动科学、民主决策。</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32" w:firstLineChars="200"/>
        <w:jc w:val="both"/>
        <w:textAlignment w:val="auto"/>
        <w:rPr>
          <w:rFonts w:hint="eastAsia" w:ascii="仿宋_GB2312" w:hAnsi="仿宋_GB2312" w:eastAsia="仿宋_GB2312" w:cs="仿宋_GB2312"/>
          <w:lang w:val="en-US" w:eastAsia="zh-CN"/>
        </w:rPr>
      </w:pPr>
      <w:r>
        <w:rPr>
          <w:rFonts w:hint="eastAsia" w:ascii="楷体" w:hAnsi="楷体" w:eastAsia="楷体" w:cs="楷体"/>
          <w:b/>
          <w:bCs/>
          <w:lang w:val="en-US" w:eastAsia="zh-CN"/>
        </w:rPr>
        <w:t>（二）增强政府信息公开工作能力。</w:t>
      </w:r>
      <w:r>
        <w:rPr>
          <w:rFonts w:hint="eastAsia" w:ascii="仿宋_GB2312" w:hAnsi="仿宋_GB2312" w:eastAsia="仿宋_GB2312" w:cs="仿宋_GB2312"/>
          <w:lang w:val="en-US" w:eastAsia="zh-CN"/>
        </w:rPr>
        <w:t>我局将进一步加强政府信息公开内容、格式的培训，提高每一位工作人员的思想认识和工作技能，不断增强政府信息公开工作的能力。</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32" w:firstLineChars="200"/>
        <w:jc w:val="both"/>
        <w:textAlignment w:val="auto"/>
        <w:rPr>
          <w:rFonts w:hint="eastAsia" w:ascii="仿宋_GB2312" w:hAnsi="仿宋_GB2312" w:eastAsia="仿宋_GB2312" w:cs="仿宋_GB2312"/>
        </w:rPr>
      </w:pPr>
      <w:r>
        <w:rPr>
          <w:rFonts w:hint="eastAsia" w:ascii="楷体" w:hAnsi="楷体" w:eastAsia="楷体" w:cs="楷体"/>
          <w:b/>
          <w:bCs/>
          <w:lang w:val="en-US" w:eastAsia="zh-CN"/>
        </w:rPr>
        <w:t>（三）优化便民服务。</w:t>
      </w:r>
      <w:r>
        <w:rPr>
          <w:rFonts w:hint="eastAsia" w:ascii="仿宋_GB2312" w:hAnsi="仿宋_GB2312" w:eastAsia="仿宋_GB2312" w:cs="仿宋_GB2312"/>
          <w:lang w:val="en-US" w:eastAsia="zh-CN"/>
        </w:rPr>
        <w:t>我局将认真对照《政府信息公开条例》和市政府相关文件要求确定的政府信息公开范围，及时发布和更新依法应主动公开的政府信息，并做好答复依申请公开政府信息工作，切实提高办事透明度，更好地为公众提供便利的服务，提高行政效能和政府公信力。</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rPr>
          <w:rFonts w:hint="eastAsia" w:ascii="仿宋_GB2312" w:hAnsi="仿宋_GB2312" w:eastAsia="仿宋_GB2312" w:cs="仿宋_GB2312"/>
        </w:rPr>
      </w:pPr>
      <w:r>
        <w:rPr>
          <w:rFonts w:hint="eastAsia" w:ascii="楷体" w:hAnsi="楷体" w:eastAsia="楷体" w:cs="楷体"/>
          <w:b/>
          <w:bCs/>
          <w:lang w:val="en-US" w:eastAsia="zh-CN"/>
        </w:rPr>
        <w:t>（四）建设长效工作机制。</w:t>
      </w:r>
      <w:r>
        <w:rPr>
          <w:rFonts w:hint="eastAsia" w:ascii="仿宋_GB2312" w:hAnsi="仿宋_GB2312" w:eastAsia="仿宋_GB2312" w:cs="仿宋_GB2312"/>
          <w:lang w:val="en-US" w:eastAsia="zh-CN"/>
        </w:rPr>
        <w:t>建立政府信息公开内容审查和更新维护、考核评估、监督检查评议、培训宣传等工作制度，建立和完善信息公开审查制度，确保政府信息公开工作制度化、规范化，深入、持续、高效地开展政府信息公开工作。</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outlineLvl w:val="9"/>
        <w:rPr>
          <w:rFonts w:hint="default" w:ascii="黑体" w:hAnsi="黑体" w:eastAsia="黑体" w:cs="黑体"/>
          <w:b/>
          <w:bCs/>
          <w:lang w:val="en-US" w:eastAsia="zh-CN"/>
        </w:rPr>
      </w:pPr>
      <w:r>
        <w:rPr>
          <w:rFonts w:hint="eastAsia" w:ascii="黑体" w:hAnsi="黑体" w:eastAsia="黑体" w:cs="黑体"/>
          <w:b/>
          <w:bCs/>
          <w:lang w:val="en-US" w:eastAsia="zh-CN"/>
        </w:rPr>
        <w:t>六、其他需要报告的事项</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rPr>
          <w:rFonts w:hint="eastAsia" w:ascii="仿宋_GB2312" w:hAnsi="仿宋_GB2312" w:eastAsia="仿宋_GB2312" w:cs="仿宋_GB2312"/>
          <w:lang w:val="en-US" w:eastAsia="zh-CN"/>
        </w:rPr>
      </w:pPr>
      <w:bookmarkStart w:id="0" w:name="_GoBack"/>
      <w:r>
        <w:rPr>
          <w:rFonts w:hint="eastAsia" w:ascii="仿宋_GB2312" w:hAnsi="仿宋_GB2312" w:eastAsia="仿宋_GB2312" w:cs="仿宋_GB2312"/>
          <w:lang w:val="en-US" w:eastAsia="zh-CN"/>
        </w:rPr>
        <w:t>2021年度，本机关无收取信息处理费情况。</w:t>
      </w:r>
    </w:p>
    <w:bookmarkEnd w:id="0"/>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wMGIyNjY0Yzc3ZTI2ZTcyMzM2ZTU3Yzk2Mzk0ZTAifQ=="/>
  </w:docVars>
  <w:rsids>
    <w:rsidRoot w:val="105A4352"/>
    <w:rsid w:val="07722445"/>
    <w:rsid w:val="07F4584C"/>
    <w:rsid w:val="0B161D2F"/>
    <w:rsid w:val="0B1845FA"/>
    <w:rsid w:val="0BED0BAC"/>
    <w:rsid w:val="105A4352"/>
    <w:rsid w:val="119A1B21"/>
    <w:rsid w:val="13D67C96"/>
    <w:rsid w:val="1B0527B9"/>
    <w:rsid w:val="1C256230"/>
    <w:rsid w:val="1FB3195C"/>
    <w:rsid w:val="206207B8"/>
    <w:rsid w:val="254F7E52"/>
    <w:rsid w:val="2C27513E"/>
    <w:rsid w:val="2E763ACD"/>
    <w:rsid w:val="37D50499"/>
    <w:rsid w:val="3A4D6E28"/>
    <w:rsid w:val="41605AC0"/>
    <w:rsid w:val="43BA1B00"/>
    <w:rsid w:val="4A6C6248"/>
    <w:rsid w:val="55C819C4"/>
    <w:rsid w:val="63604736"/>
    <w:rsid w:val="63CE5C51"/>
    <w:rsid w:val="67BC1571"/>
    <w:rsid w:val="6CD60491"/>
    <w:rsid w:val="711444E3"/>
    <w:rsid w:val="71C051BF"/>
    <w:rsid w:val="72B56EC8"/>
    <w:rsid w:val="75D02165"/>
    <w:rsid w:val="7832300A"/>
    <w:rsid w:val="79B96968"/>
    <w:rsid w:val="7A9F5D17"/>
    <w:rsid w:val="7E131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6</Pages>
  <Words>3053</Words>
  <Characters>3173</Characters>
  <Lines>0</Lines>
  <Paragraphs>0</Paragraphs>
  <TotalTime>16</TotalTime>
  <ScaleCrop>false</ScaleCrop>
  <LinksUpToDate>false</LinksUpToDate>
  <CharactersWithSpaces>3176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123</cp:lastModifiedBy>
  <dcterms:modified xsi:type="dcterms:W3CDTF">2023-01-12T02:17:37Z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2B92D15190304B80AF1677499F494189</vt:lpwstr>
  </property>
</Properties>
</file>