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both"/>
        <w:textAlignment w:val="auto"/>
        <w:outlineLvl w:val="9"/>
        <w:rPr>
          <w:rFonts w:hint="eastAsia" w:ascii="方正小标宋简体" w:hAnsi="方正小标宋简体" w:eastAsia="方正小标宋简体" w:cs="方正小标宋简体"/>
          <w:sz w:val="44"/>
          <w:szCs w:val="44"/>
          <w:highlight w:val="none"/>
          <w:lang w:val="en-US" w:eastAsia="zh-CN"/>
        </w:rPr>
      </w:pPr>
      <w:bookmarkStart w:id="0" w:name="_GoBack"/>
      <w:r>
        <w:rPr>
          <w:rFonts w:hint="eastAsia" w:ascii="方正小标宋简体" w:hAnsi="方正小标宋简体" w:eastAsia="方正小标宋简体" w:cs="方正小标宋简体"/>
          <w:sz w:val="44"/>
          <w:szCs w:val="44"/>
          <w:highlight w:val="none"/>
          <w:lang w:val="en-US" w:eastAsia="zh-CN"/>
        </w:rPr>
        <w:t>樟树市民政局2022年政府信息公开工作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both"/>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 w:hAnsi="仿宋" w:eastAsia="仿宋_GB2312" w:cs="仿宋"/>
          <w:lang w:val="en-US" w:eastAsia="zh-CN"/>
        </w:rPr>
      </w:pPr>
      <w:r>
        <w:rPr>
          <w:rFonts w:hint="eastAsia" w:ascii="仿宋_GB2312" w:hAnsi="仿宋_GB2312" w:eastAsia="仿宋_GB2312" w:cs="仿宋_GB2312"/>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民政局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民政局联系（地址：江西省樟树市杏佛路86号，电话：0795-7362496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楷体" w:hAnsi="楷体" w:eastAsia="楷体" w:cs="楷体"/>
          <w:b/>
          <w:bCs/>
          <w:lang w:val="en-US" w:eastAsia="zh-CN"/>
        </w:rPr>
      </w:pPr>
      <w:r>
        <w:rPr>
          <w:rFonts w:hint="eastAsia" w:ascii="仿宋_GB2312" w:hAnsi="仿宋_GB2312" w:eastAsia="仿宋_GB2312" w:cs="仿宋_GB2312"/>
          <w:highlight w:val="none"/>
          <w:lang w:val="en-US" w:eastAsia="zh-CN"/>
        </w:rPr>
        <w:t>2022年以来，樟树市民政局按照市委、市政府的统一安排部署和要求，继续深入推行政务公开工作，把政务公开工作作为加强党风廉政建设、转变工作作风、狠抓工作落实的重要举措，切实抓紧抓好，以公开促工作，以公开树形象，以公开赢民心，扎实有序推进民政领域政府信息公开工作，充分发挥政府信息公开职能和效能。</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2022年</w:t>
      </w:r>
      <w:r>
        <w:rPr>
          <w:rFonts w:hint="eastAsia" w:ascii="仿宋_GB2312" w:hAnsi="仿宋_GB2312" w:eastAsia="仿宋_GB2312" w:cs="仿宋_GB2312"/>
          <w:i w:val="0"/>
          <w:iCs w:val="0"/>
          <w:caps w:val="0"/>
          <w:color w:val="333333"/>
          <w:spacing w:val="0"/>
          <w:sz w:val="32"/>
          <w:szCs w:val="32"/>
          <w:shd w:val="clear" w:fill="FFFFFF"/>
          <w:lang w:eastAsia="zh-CN"/>
        </w:rPr>
        <w:t>，结合我局实际工作，</w:t>
      </w:r>
      <w:r>
        <w:rPr>
          <w:rFonts w:hint="eastAsia" w:ascii="仿宋_GB2312" w:hAnsi="仿宋_GB2312" w:eastAsia="仿宋_GB2312" w:cs="仿宋_GB2312"/>
          <w:i w:val="0"/>
          <w:iCs w:val="0"/>
          <w:caps w:val="0"/>
          <w:color w:val="333333"/>
          <w:spacing w:val="0"/>
          <w:sz w:val="32"/>
          <w:szCs w:val="32"/>
          <w:shd w:val="clear" w:fill="FFFFFF"/>
        </w:rPr>
        <w:t>及时在</w:t>
      </w:r>
      <w:r>
        <w:rPr>
          <w:rFonts w:hint="eastAsia" w:ascii="仿宋_GB2312" w:hAnsi="仿宋_GB2312" w:eastAsia="仿宋_GB2312" w:cs="仿宋_GB2312"/>
          <w:i w:val="0"/>
          <w:iCs w:val="0"/>
          <w:caps w:val="0"/>
          <w:color w:val="333333"/>
          <w:spacing w:val="0"/>
          <w:sz w:val="32"/>
          <w:szCs w:val="32"/>
          <w:shd w:val="clear" w:fill="FFFFFF"/>
          <w:lang w:eastAsia="zh-CN"/>
        </w:rPr>
        <w:t>樟树市人民政府网站</w:t>
      </w:r>
      <w:r>
        <w:rPr>
          <w:rFonts w:hint="eastAsia" w:ascii="仿宋_GB2312" w:hAnsi="仿宋_GB2312" w:eastAsia="仿宋_GB2312" w:cs="仿宋_GB2312"/>
          <w:i w:val="0"/>
          <w:iCs w:val="0"/>
          <w:caps w:val="0"/>
          <w:color w:val="333333"/>
          <w:spacing w:val="0"/>
          <w:sz w:val="32"/>
          <w:szCs w:val="32"/>
          <w:shd w:val="clear" w:fill="FFFFFF"/>
        </w:rPr>
        <w:t>更新领导信息</w:t>
      </w:r>
      <w:r>
        <w:rPr>
          <w:rFonts w:hint="eastAsia" w:ascii="仿宋_GB2312" w:hAnsi="仿宋_GB2312" w:eastAsia="仿宋_GB2312" w:cs="仿宋_GB2312"/>
          <w:i w:val="0"/>
          <w:iCs w:val="0"/>
          <w:caps w:val="0"/>
          <w:color w:val="333333"/>
          <w:spacing w:val="0"/>
          <w:sz w:val="32"/>
          <w:szCs w:val="32"/>
          <w:shd w:val="clear" w:fill="FFFFFF"/>
          <w:lang w:eastAsia="zh-CN"/>
        </w:rPr>
        <w:t>、内设机构</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工作动态、规划计划</w:t>
      </w:r>
      <w:r>
        <w:rPr>
          <w:rFonts w:hint="eastAsia" w:ascii="仿宋_GB2312" w:hAnsi="仿宋_GB2312" w:eastAsia="仿宋_GB2312" w:cs="仿宋_GB2312"/>
          <w:i w:val="0"/>
          <w:iCs w:val="0"/>
          <w:caps w:val="0"/>
          <w:color w:val="333333"/>
          <w:spacing w:val="0"/>
          <w:sz w:val="32"/>
          <w:szCs w:val="32"/>
          <w:shd w:val="clear" w:fill="FFFFFF"/>
        </w:rPr>
        <w:t>、依法行政、重点领域公开等。围绕</w:t>
      </w:r>
      <w:r>
        <w:rPr>
          <w:rFonts w:hint="eastAsia" w:ascii="仿宋_GB2312" w:hAnsi="仿宋_GB2312" w:eastAsia="仿宋_GB2312" w:cs="仿宋_GB2312"/>
          <w:i w:val="0"/>
          <w:iCs w:val="0"/>
          <w:caps w:val="0"/>
          <w:color w:val="333333"/>
          <w:spacing w:val="0"/>
          <w:sz w:val="32"/>
          <w:szCs w:val="32"/>
          <w:shd w:val="clear" w:fill="FFFFFF"/>
          <w:lang w:eastAsia="zh-CN"/>
        </w:rPr>
        <w:t>社会</w:t>
      </w:r>
      <w:r>
        <w:rPr>
          <w:rFonts w:hint="eastAsia" w:ascii="仿宋_GB2312" w:hAnsi="仿宋_GB2312" w:eastAsia="仿宋_GB2312" w:cs="仿宋_GB2312"/>
          <w:i w:val="0"/>
          <w:iCs w:val="0"/>
          <w:caps w:val="0"/>
          <w:color w:val="333333"/>
          <w:spacing w:val="0"/>
          <w:sz w:val="32"/>
          <w:szCs w:val="32"/>
          <w:shd w:val="clear" w:fill="FFFFFF"/>
        </w:rPr>
        <w:t>关注的</w:t>
      </w:r>
      <w:r>
        <w:rPr>
          <w:rFonts w:hint="eastAsia" w:ascii="仿宋_GB2312" w:hAnsi="仿宋_GB2312" w:eastAsia="仿宋_GB2312" w:cs="仿宋_GB2312"/>
          <w:i w:val="0"/>
          <w:iCs w:val="0"/>
          <w:caps w:val="0"/>
          <w:color w:val="333333"/>
          <w:spacing w:val="0"/>
          <w:sz w:val="32"/>
          <w:szCs w:val="32"/>
          <w:shd w:val="clear" w:fill="FFFFFF"/>
          <w:lang w:eastAsia="zh-CN"/>
        </w:rPr>
        <w:t>社会救助与福利、</w:t>
      </w:r>
      <w:r>
        <w:rPr>
          <w:rFonts w:hint="eastAsia" w:ascii="仿宋_GB2312" w:hAnsi="仿宋_GB2312" w:eastAsia="仿宋_GB2312" w:cs="仿宋_GB2312"/>
          <w:i w:val="0"/>
          <w:iCs w:val="0"/>
          <w:caps w:val="0"/>
          <w:color w:val="333333"/>
          <w:spacing w:val="0"/>
          <w:sz w:val="32"/>
          <w:szCs w:val="32"/>
          <w:shd w:val="clear" w:fill="FFFFFF"/>
        </w:rPr>
        <w:t>养老服务情况、财政预决算信息等，加强了信息发布的及时性和针对性，紧跟</w:t>
      </w:r>
      <w:r>
        <w:rPr>
          <w:rFonts w:hint="eastAsia" w:ascii="仿宋_GB2312" w:hAnsi="仿宋_GB2312" w:eastAsia="仿宋_GB2312" w:cs="仿宋_GB2312"/>
          <w:i w:val="0"/>
          <w:iCs w:val="0"/>
          <w:caps w:val="0"/>
          <w:color w:val="333333"/>
          <w:spacing w:val="0"/>
          <w:sz w:val="32"/>
          <w:szCs w:val="32"/>
          <w:shd w:val="clear" w:fill="FFFFFF"/>
          <w:lang w:eastAsia="zh-CN"/>
        </w:rPr>
        <w:t>市</w:t>
      </w:r>
      <w:r>
        <w:rPr>
          <w:rFonts w:hint="eastAsia" w:ascii="仿宋_GB2312" w:hAnsi="仿宋_GB2312" w:eastAsia="仿宋_GB2312" w:cs="仿宋_GB2312"/>
          <w:i w:val="0"/>
          <w:iCs w:val="0"/>
          <w:caps w:val="0"/>
          <w:color w:val="333333"/>
          <w:spacing w:val="0"/>
          <w:sz w:val="32"/>
          <w:szCs w:val="32"/>
          <w:shd w:val="clear" w:fill="FFFFFF"/>
        </w:rPr>
        <w:t>委、</w:t>
      </w:r>
      <w:r>
        <w:rPr>
          <w:rFonts w:hint="eastAsia" w:ascii="仿宋_GB2312" w:hAnsi="仿宋_GB2312" w:eastAsia="仿宋_GB2312" w:cs="仿宋_GB2312"/>
          <w:i w:val="0"/>
          <w:iCs w:val="0"/>
          <w:caps w:val="0"/>
          <w:color w:val="333333"/>
          <w:spacing w:val="0"/>
          <w:sz w:val="32"/>
          <w:szCs w:val="32"/>
          <w:shd w:val="clear" w:fill="FFFFFF"/>
          <w:lang w:eastAsia="zh-CN"/>
        </w:rPr>
        <w:t>市</w:t>
      </w:r>
      <w:r>
        <w:rPr>
          <w:rFonts w:hint="eastAsia" w:ascii="仿宋_GB2312" w:hAnsi="仿宋_GB2312" w:eastAsia="仿宋_GB2312" w:cs="仿宋_GB2312"/>
          <w:i w:val="0"/>
          <w:iCs w:val="0"/>
          <w:caps w:val="0"/>
          <w:color w:val="333333"/>
          <w:spacing w:val="0"/>
          <w:sz w:val="32"/>
          <w:szCs w:val="32"/>
          <w:shd w:val="clear" w:fill="FFFFFF"/>
        </w:rPr>
        <w:t>政府工作目标，增加群众参与度和知晓率。并及时将由我局主办的人大、政协建议提案答复意见在门户网站进行公示，接受群众的监督。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1.决策公开：</w:t>
      </w:r>
      <w:r>
        <w:rPr>
          <w:rFonts w:hint="eastAsia" w:ascii="仿宋_GB2312" w:hAnsi="仿宋_GB2312" w:eastAsia="仿宋_GB2312" w:cs="仿宋_GB2312"/>
          <w:i w:val="0"/>
          <w:iCs w:val="0"/>
          <w:caps w:val="0"/>
          <w:color w:val="333333"/>
          <w:spacing w:val="0"/>
          <w:sz w:val="32"/>
          <w:szCs w:val="32"/>
          <w:shd w:val="clear" w:fill="FFFFFF"/>
          <w:lang w:val="en-US" w:eastAsia="zh-CN"/>
        </w:rPr>
        <w:t>按照重大决策与公开要求，全年发布信息4条；发布政策文件8条，政策解读8条，政策文件与政策解读均已相互关联；发布政府重点工作6条。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2.管理公开：</w:t>
      </w:r>
      <w:r>
        <w:rPr>
          <w:rFonts w:hint="eastAsia" w:ascii="仿宋_GB2312" w:hAnsi="仿宋_GB2312" w:eastAsia="仿宋_GB2312" w:cs="仿宋_GB2312"/>
          <w:i w:val="0"/>
          <w:iCs w:val="0"/>
          <w:caps w:val="0"/>
          <w:color w:val="333333"/>
          <w:spacing w:val="0"/>
          <w:sz w:val="32"/>
          <w:szCs w:val="32"/>
          <w:shd w:val="clear" w:fill="FFFFFF"/>
          <w:lang w:val="en-US" w:eastAsia="zh-CN"/>
        </w:rPr>
        <w:t>根据实际情况，及时调整更新</w:t>
      </w:r>
      <w:r>
        <w:rPr>
          <w:rFonts w:hint="eastAsia" w:ascii="仿宋_GB2312" w:hAnsi="仿宋_GB2312" w:eastAsia="仿宋_GB2312" w:cs="仿宋_GB2312"/>
          <w:i w:val="0"/>
          <w:iCs w:val="0"/>
          <w:caps w:val="0"/>
          <w:color w:val="333333"/>
          <w:spacing w:val="0"/>
          <w:sz w:val="32"/>
          <w:szCs w:val="32"/>
          <w:shd w:val="clear" w:fill="FFFFFF"/>
          <w:lang w:eastAsia="zh-CN"/>
        </w:rPr>
        <w:t>领导信息、内设机构信息，全年累计发布机构职能信息</w:t>
      </w:r>
      <w:r>
        <w:rPr>
          <w:rFonts w:hint="eastAsia" w:ascii="仿宋_GB2312" w:hAnsi="仿宋_GB2312" w:eastAsia="仿宋_GB2312" w:cs="仿宋_GB2312"/>
          <w:i w:val="0"/>
          <w:iCs w:val="0"/>
          <w:caps w:val="0"/>
          <w:color w:val="333333"/>
          <w:spacing w:val="0"/>
          <w:sz w:val="32"/>
          <w:szCs w:val="32"/>
          <w:shd w:val="clear" w:fill="FFFFFF"/>
          <w:lang w:val="en-US" w:eastAsia="zh-CN"/>
        </w:rPr>
        <w:t>2条；发布部门预决算信息9条；根据上级部门要求，动态调整单位权责清单，发布2022年樟树市民政局权责清单；发布行政执法信息3条，包含重点监管事项、2022年“双随机、一公开”抽查结果、年度行政执法数据统计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3.服务公开：</w:t>
      </w:r>
      <w:r>
        <w:rPr>
          <w:rFonts w:hint="eastAsia" w:ascii="仿宋_GB2312" w:hAnsi="仿宋_GB2312" w:eastAsia="仿宋_GB2312" w:cs="仿宋_GB2312"/>
          <w:i w:val="0"/>
          <w:iCs w:val="0"/>
          <w:caps w:val="0"/>
          <w:color w:val="333333"/>
          <w:spacing w:val="0"/>
          <w:sz w:val="32"/>
          <w:szCs w:val="32"/>
          <w:shd w:val="clear" w:fill="FFFFFF"/>
          <w:lang w:val="en-US" w:eastAsia="zh-CN"/>
        </w:rPr>
        <w:t>依托樟树市人民政府网站，将我局政务服务事项及时公开发布，让群众知晓办事流程、办事职能，提高办事效率。累计在政务服务网发布办理事项48条。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4.结果公开：</w:t>
      </w:r>
      <w:r>
        <w:rPr>
          <w:rFonts w:hint="eastAsia" w:ascii="仿宋_GB2312" w:hAnsi="仿宋_GB2312" w:eastAsia="仿宋_GB2312" w:cs="仿宋_GB2312"/>
          <w:i w:val="0"/>
          <w:iCs w:val="0"/>
          <w:caps w:val="0"/>
          <w:color w:val="333333"/>
          <w:spacing w:val="0"/>
          <w:sz w:val="32"/>
          <w:szCs w:val="32"/>
          <w:shd w:val="clear" w:fill="FFFFFF"/>
          <w:lang w:eastAsia="zh-CN"/>
        </w:rPr>
        <w:t>及时将由我局主办的人大、政协建议提案答复意见在门户网站进行公示，接受群众的监督。全年累计公开人大建议</w:t>
      </w:r>
      <w:r>
        <w:rPr>
          <w:rFonts w:hint="eastAsia" w:ascii="仿宋_GB2312" w:hAnsi="仿宋_GB2312" w:eastAsia="仿宋_GB2312" w:cs="仿宋_GB2312"/>
          <w:i w:val="0"/>
          <w:iCs w:val="0"/>
          <w:caps w:val="0"/>
          <w:color w:val="333333"/>
          <w:spacing w:val="0"/>
          <w:sz w:val="32"/>
          <w:szCs w:val="32"/>
          <w:shd w:val="clear" w:fill="FFFFFF"/>
          <w:lang w:val="en-US" w:eastAsia="zh-CN"/>
        </w:rPr>
        <w:t>4条；公开政协提案10条。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5.执行公开：</w:t>
      </w:r>
      <w:r>
        <w:rPr>
          <w:rFonts w:hint="eastAsia" w:ascii="仿宋_GB2312" w:hAnsi="仿宋_GB2312" w:eastAsia="仿宋_GB2312" w:cs="仿宋_GB2312"/>
          <w:i w:val="0"/>
          <w:iCs w:val="0"/>
          <w:caps w:val="0"/>
          <w:color w:val="333333"/>
          <w:spacing w:val="0"/>
          <w:sz w:val="32"/>
          <w:szCs w:val="32"/>
          <w:shd w:val="clear" w:fill="FFFFFF"/>
          <w:lang w:val="en-US" w:eastAsia="zh-CN"/>
        </w:rPr>
        <w:t>严格遵循工作动态发布周期，全年累计发布工作动态50条；</w:t>
      </w:r>
      <w:r>
        <w:rPr>
          <w:rFonts w:hint="eastAsia" w:ascii="仿宋_GB2312" w:hAnsi="仿宋_GB2312" w:eastAsia="仿宋_GB2312" w:cs="仿宋_GB2312"/>
          <w:i w:val="0"/>
          <w:iCs w:val="0"/>
          <w:caps w:val="0"/>
          <w:color w:val="333333"/>
          <w:spacing w:val="0"/>
          <w:sz w:val="32"/>
          <w:szCs w:val="32"/>
          <w:shd w:val="clear" w:fill="FFFFFF"/>
          <w:lang w:eastAsia="zh-CN"/>
        </w:rPr>
        <w:t>围绕社会关注的重点、热点问题，发布社会救助与福利信息</w:t>
      </w:r>
      <w:r>
        <w:rPr>
          <w:rFonts w:hint="eastAsia" w:ascii="仿宋_GB2312" w:hAnsi="仿宋_GB2312" w:eastAsia="仿宋_GB2312" w:cs="仿宋_GB2312"/>
          <w:i w:val="0"/>
          <w:iCs w:val="0"/>
          <w:caps w:val="0"/>
          <w:color w:val="333333"/>
          <w:spacing w:val="0"/>
          <w:sz w:val="32"/>
          <w:szCs w:val="32"/>
          <w:shd w:val="clear" w:fill="FFFFFF"/>
          <w:lang w:val="en-US" w:eastAsia="zh-CN"/>
        </w:rPr>
        <w:t>36条，发布养老服务13条；发布规划计划6条；发布决策部署落实情况7条。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我局高度重视依申请公开工作，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2022年我局未收到依申请公开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2022年度，我局严格按照“三审三校”要求，严把信息审核关口，提高政府信息公开工作的政治站位，压实工作责任，严肃信息审核纪律，对公开的所有信息严格执行“先审后发”制度，审核范围做到全覆盖，把握信息内容审核重点，确保内容准确、表述规范，未经审核不得公开发布，做到全程留痕、有据可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1.加强组织领导。</w:t>
      </w:r>
      <w:r>
        <w:rPr>
          <w:rFonts w:hint="eastAsia" w:ascii="仿宋_GB2312" w:hAnsi="仿宋_GB2312" w:eastAsia="仿宋_GB2312" w:cs="仿宋_GB2312"/>
          <w:i w:val="0"/>
          <w:iCs w:val="0"/>
          <w:caps w:val="0"/>
          <w:color w:val="333333"/>
          <w:spacing w:val="0"/>
          <w:sz w:val="32"/>
          <w:szCs w:val="32"/>
          <w:shd w:val="clear" w:fill="FFFFFF"/>
          <w:lang w:val="en-US" w:eastAsia="zh-CN"/>
        </w:rPr>
        <w:t>我局先后召开2次政务公开推进会，对全局政务公开工作进行再安排、再部署，进一步压实工作责任， 有计划、有目标、分阶段地做好信息公开工作。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2.完善工作制度。</w:t>
      </w:r>
      <w:r>
        <w:rPr>
          <w:rFonts w:hint="eastAsia" w:ascii="仿宋_GB2312" w:hAnsi="仿宋_GB2312" w:eastAsia="仿宋_GB2312" w:cs="仿宋_GB2312"/>
          <w:i w:val="0"/>
          <w:iCs w:val="0"/>
          <w:caps w:val="0"/>
          <w:color w:val="333333"/>
          <w:spacing w:val="0"/>
          <w:sz w:val="32"/>
          <w:szCs w:val="32"/>
          <w:shd w:val="clear" w:fill="FFFFFF"/>
          <w:lang w:val="en-US" w:eastAsia="zh-CN"/>
        </w:rPr>
        <w:t>为扎实推进政务公开工作，我局指定专人负责政务公开工作；定期在全局干部职工大会组织学习政务公开相关文件。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b/>
          <w:bCs/>
          <w:i w:val="0"/>
          <w:iCs w:val="0"/>
          <w:caps w:val="0"/>
          <w:color w:val="333333"/>
          <w:spacing w:val="0"/>
          <w:sz w:val="32"/>
          <w:szCs w:val="32"/>
          <w:shd w:val="clear" w:fill="FFFFFF"/>
          <w:lang w:val="en-US" w:eastAsia="zh-CN"/>
        </w:rPr>
        <w:t>3.开展“政府开放日”活动。</w:t>
      </w:r>
      <w:r>
        <w:rPr>
          <w:rFonts w:hint="eastAsia" w:ascii="仿宋_GB2312" w:hAnsi="仿宋_GB2312" w:eastAsia="仿宋_GB2312" w:cs="仿宋_GB2312"/>
          <w:i w:val="0"/>
          <w:iCs w:val="0"/>
          <w:caps w:val="0"/>
          <w:color w:val="333333"/>
          <w:spacing w:val="0"/>
          <w:sz w:val="32"/>
          <w:szCs w:val="32"/>
          <w:shd w:val="clear" w:fill="FFFFFF"/>
          <w:lang w:val="en-US" w:eastAsia="zh-CN"/>
        </w:rPr>
        <w:t>7月26日，开展以“推进政务公开，打造阳光民政、温暖民政”为主题的“政府开放日”活动。邀请人大代表、政协委员、群众代表等10人走进市民政局，深度了解我市民政工作开展情况，切实推进阳光、开放、法治、服务型政府建设，保障人民群众的知情权、表达权、参与权和监督权，进一步提高广大市民对民政工作的满意度。</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outlineLvl w:val="9"/>
        <w:rPr>
          <w:rFonts w:hint="default"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我局高度重视政务公开工作，成立由主要领导任组长，分管领导任副组长，相关股室负责人为成员的政务公开工作领导小组，对政务公开各项工作跟踪指导，协调解决工作中涉及的重点、难点问题。同时，把政府信息公开工作纳入我局年度考核范畴，对履职不力的股室取消年度评优评先资格，进一步压紧压实工作责任，确保政府信息公开申请登记、审核、办理、答复、归档等各项工作按时按质完成。</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eastAsia" w:ascii="黑体" w:hAnsi="黑体" w:eastAsia="黑体" w:cs="黑体"/>
          <w:b/>
          <w:bCs/>
          <w:lang w:val="en-US" w:eastAsia="zh-CN"/>
        </w:rPr>
      </w:pPr>
      <w:r>
        <w:rPr>
          <w:rFonts w:hint="eastAsia" w:ascii="黑体" w:hAnsi="黑体" w:eastAsia="黑体" w:cs="黑体"/>
          <w:b/>
          <w:bCs/>
          <w:lang w:val="en-US" w:eastAsia="zh-CN"/>
        </w:rPr>
        <w:t>二、行政机关主动公开政府信息情况</w:t>
      </w:r>
    </w:p>
    <w:tbl>
      <w:tblPr>
        <w:tblStyle w:val="5"/>
        <w:tblW w:w="9000" w:type="dxa"/>
        <w:jc w:val="center"/>
        <w:shd w:val="clear" w:color="auto" w:fill="auto"/>
        <w:tblLayout w:type="fixed"/>
        <w:tblCellMar>
          <w:top w:w="0" w:type="dxa"/>
          <w:left w:w="0" w:type="dxa"/>
          <w:bottom w:w="0" w:type="dxa"/>
          <w:right w:w="0" w:type="dxa"/>
        </w:tblCellMar>
      </w:tblPr>
      <w:tblGrid>
        <w:gridCol w:w="1726"/>
        <w:gridCol w:w="2424"/>
        <w:gridCol w:w="2424"/>
        <w:gridCol w:w="2426"/>
      </w:tblGrid>
      <w:tr>
        <w:tblPrEx>
          <w:shd w:val="clear" w:color="auto" w:fill="auto"/>
          <w:tblCellMar>
            <w:top w:w="0" w:type="dxa"/>
            <w:left w:w="0" w:type="dxa"/>
            <w:bottom w:w="0" w:type="dxa"/>
            <w:right w:w="0" w:type="dxa"/>
          </w:tblCellMar>
        </w:tblPrEx>
        <w:trPr>
          <w:trHeight w:val="177" w:hRule="atLeast"/>
          <w:jc w:val="center"/>
        </w:trPr>
        <w:tc>
          <w:tcPr>
            <w:tcW w:w="900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2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24"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26"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规章</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行政规范性文件</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1</w:t>
            </w:r>
          </w:p>
        </w:tc>
        <w:tc>
          <w:tcPr>
            <w:tcW w:w="242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0</w:t>
            </w:r>
          </w:p>
        </w:tc>
        <w:tc>
          <w:tcPr>
            <w:tcW w:w="2426"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rPr>
                <w:rFonts w:hint="eastAsia" w:ascii="宋体"/>
                <w:b w:val="0"/>
                <w:bCs w:val="0"/>
                <w:sz w:val="24"/>
                <w:szCs w:val="24"/>
                <w:lang w:val="en-US" w:eastAsia="zh-CN"/>
              </w:rPr>
            </w:pPr>
            <w:r>
              <w:rPr>
                <w:rFonts w:hint="eastAsia" w:ascii="宋体"/>
                <w:b w:val="0"/>
                <w:bCs w:val="0"/>
                <w:sz w:val="24"/>
                <w:szCs w:val="24"/>
                <w:lang w:val="en-US" w:eastAsia="zh-CN"/>
              </w:rPr>
              <w:t>3</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行政许可</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宋体"/>
                <w:b w:val="0"/>
                <w:bCs w:val="0"/>
                <w:sz w:val="24"/>
                <w:szCs w:val="24"/>
                <w:lang w:val="en-US" w:eastAsia="zh-CN"/>
              </w:rPr>
              <w:t>12</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行政处罚</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行政强制</w:t>
            </w:r>
          </w:p>
        </w:tc>
        <w:tc>
          <w:tcPr>
            <w:tcW w:w="7274"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pPr>
            <w:r>
              <w:rPr>
                <w:rFonts w:hint="eastAsia" w:ascii="宋体"/>
                <w:b w:val="0"/>
                <w:bCs w:val="0"/>
                <w:sz w:val="24"/>
                <w:szCs w:val="24"/>
                <w:lang w:val="en-US" w:eastAsia="zh-CN"/>
              </w:rPr>
              <w:t>0</w:t>
            </w:r>
          </w:p>
        </w:tc>
      </w:tr>
      <w:tr>
        <w:tblPrEx>
          <w:tblCellMar>
            <w:top w:w="0" w:type="dxa"/>
            <w:left w:w="0" w:type="dxa"/>
            <w:bottom w:w="0" w:type="dxa"/>
            <w:right w:w="0" w:type="dxa"/>
          </w:tblCellMar>
        </w:tblPrEx>
        <w:trPr>
          <w:trHeight w:val="177" w:hRule="atLeast"/>
          <w:jc w:val="center"/>
        </w:trPr>
        <w:tc>
          <w:tcPr>
            <w:tcW w:w="900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177"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274"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183" w:hRule="atLeast"/>
          <w:jc w:val="center"/>
        </w:trPr>
        <w:tc>
          <w:tcPr>
            <w:tcW w:w="1726"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pPr>
            <w:r>
              <w:rPr>
                <w:rFonts w:hint="eastAsia" w:ascii="宋体" w:hAnsi="宋体" w:eastAsia="宋体" w:cs="宋体"/>
                <w:color w:val="000000"/>
                <w:kern w:val="0"/>
                <w:sz w:val="20"/>
                <w:szCs w:val="20"/>
                <w:lang w:val="en-US" w:eastAsia="zh-CN" w:bidi="ar"/>
              </w:rPr>
              <w:t>行政事业性收费</w:t>
            </w:r>
          </w:p>
        </w:tc>
        <w:tc>
          <w:tcPr>
            <w:tcW w:w="7274"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jc w:val="center"/>
              <w:textAlignment w:val="auto"/>
              <w:rPr>
                <w:rFonts w:hint="default" w:ascii="宋体" w:eastAsia="仿宋"/>
                <w:sz w:val="24"/>
                <w:szCs w:val="24"/>
                <w:lang w:val="en-US" w:eastAsia="zh-CN"/>
              </w:rPr>
            </w:pPr>
            <w:r>
              <w:rPr>
                <w:rFonts w:hint="eastAsia" w:ascii="宋体"/>
                <w:b w:val="0"/>
                <w:bCs w:val="0"/>
                <w:sz w:val="24"/>
                <w:szCs w:val="24"/>
                <w:lang w:val="en-US" w:eastAsia="zh-CN"/>
              </w:rPr>
              <w:t>938.75</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00" w:lineRule="exact"/>
              <w:ind w:left="0" w:leftChars="0" w:right="0" w:rightChars="0"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jc w:val="both"/>
        <w:textAlignment w:val="auto"/>
        <w:outlineLvl w:val="9"/>
        <w:rPr>
          <w:rFonts w:hint="default" w:ascii="仿宋" w:hAnsi="仿宋" w:eastAsia="仿宋_GB2312" w:cs="仿宋"/>
          <w:b/>
          <w:bCs/>
          <w:highlight w:val="cyan"/>
          <w:lang w:val="en-US" w:eastAsia="zh-CN"/>
        </w:rPr>
      </w:pPr>
      <w:r>
        <w:rPr>
          <w:rFonts w:hint="eastAsia" w:ascii="黑体" w:hAnsi="黑体" w:eastAsia="黑体" w:cs="黑体"/>
          <w:b/>
          <w:bCs/>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00" w:lineRule="exact"/>
              <w:ind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五、政府信息公开工作存在的主要问题及改进情况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2022年，我局政府信息公开工作虽取得一定成绩，但仍存在一些薄弱环节，主要表现在：</w:t>
      </w: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kern w:val="2"/>
          <w:sz w:val="32"/>
          <w:szCs w:val="32"/>
          <w:highlight w:val="none"/>
          <w:lang w:val="en-US" w:eastAsia="zh-CN" w:bidi="ar-SA"/>
        </w:rPr>
        <w:t>对一些涉及公众切身利益、需要公众广泛知晓的民生领域、重点领域和政策解决等信息公开还有待提高；</w:t>
      </w: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kern w:val="2"/>
          <w:sz w:val="32"/>
          <w:szCs w:val="32"/>
          <w:highlight w:val="none"/>
          <w:lang w:val="en-US" w:eastAsia="zh-CN" w:bidi="ar-SA"/>
        </w:rPr>
        <w:t>政策解读数量和质量等还有待改进，政府信息公开形式较为单一。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2023年，我局将进一步加大政务信息公开工作力度，重点做好以下几方面工作：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一要进一步加强日常管理工作。</w:t>
      </w:r>
      <w:r>
        <w:rPr>
          <w:rFonts w:hint="eastAsia" w:ascii="仿宋_GB2312" w:hAnsi="仿宋_GB2312" w:eastAsia="仿宋_GB2312" w:cs="仿宋_GB2312"/>
          <w:kern w:val="2"/>
          <w:sz w:val="32"/>
          <w:szCs w:val="32"/>
          <w:highlight w:val="none"/>
          <w:lang w:val="en-US" w:eastAsia="zh-CN" w:bidi="ar-SA"/>
        </w:rPr>
        <w:t>继续强化专人负责信息公开工作，明确工作职责，以服务群众为目的，及时、准确地公开政务信息，以提高群众对政府信息公开的知晓率和参与度。在规定的政府信息公开范围内，及时发布和更新应主动公开的政府信息切实提高办事透明度，努力提高政府行政效能和公信力，为群众提供更加便利的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二要进一步推进重点领域信息公开工作。</w:t>
      </w:r>
      <w:r>
        <w:rPr>
          <w:rFonts w:hint="eastAsia" w:ascii="仿宋_GB2312" w:hAnsi="仿宋_GB2312" w:eastAsia="仿宋_GB2312" w:cs="仿宋_GB2312"/>
          <w:kern w:val="2"/>
          <w:sz w:val="32"/>
          <w:szCs w:val="32"/>
          <w:highlight w:val="none"/>
          <w:lang w:val="en-US" w:eastAsia="zh-CN" w:bidi="ar-SA"/>
        </w:rPr>
        <w:t>及时公开涉及群众切身利益、需要社会广泛知晓的重大政策措施，通过采取多种形式，广泛听取社会公众意见。围绕市委、市政府年度工作部署以及上级部门重要安排，围绕社会救助与福利、养老服务信息等，通过政府门户网站及时公开落实情况相关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微软雅黑" w:hAnsi="微软雅黑" w:eastAsia="微软雅黑" w:cs="微软雅黑"/>
          <w:i w:val="0"/>
          <w:iCs w:val="0"/>
          <w:caps w:val="0"/>
          <w:color w:val="333333"/>
          <w:spacing w:val="0"/>
          <w:sz w:val="32"/>
          <w:szCs w:val="32"/>
          <w:u w:val="none"/>
        </w:rPr>
      </w:pPr>
      <w:r>
        <w:rPr>
          <w:rFonts w:hint="eastAsia" w:ascii="仿宋_GB2312" w:hAnsi="仿宋_GB2312" w:eastAsia="仿宋_GB2312" w:cs="仿宋_GB2312"/>
          <w:b/>
          <w:bCs/>
          <w:kern w:val="2"/>
          <w:sz w:val="32"/>
          <w:szCs w:val="32"/>
          <w:highlight w:val="none"/>
          <w:lang w:val="en-US" w:eastAsia="zh-CN" w:bidi="ar-SA"/>
        </w:rPr>
        <w:t>三要进一步加强政务公开能力建设。</w:t>
      </w:r>
      <w:r>
        <w:rPr>
          <w:rFonts w:hint="eastAsia" w:ascii="仿宋_GB2312" w:hAnsi="仿宋_GB2312" w:eastAsia="仿宋_GB2312" w:cs="仿宋_GB2312"/>
          <w:kern w:val="2"/>
          <w:sz w:val="32"/>
          <w:szCs w:val="32"/>
          <w:highlight w:val="none"/>
          <w:lang w:val="en-US" w:eastAsia="zh-CN" w:bidi="ar-SA"/>
        </w:rPr>
        <w:t>进一步加强制度建设。完善政务公开相关制度规范，明确有关职责，规范办理程序。增强专业素养，提高政务公开工作的能力和水平，确保公开工作取得实效，加强履职监督，依法履行信息公开职责。</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jc w:val="both"/>
        <w:textAlignment w:val="auto"/>
        <w:outlineLvl w:val="9"/>
        <w:rPr>
          <w:rFonts w:hint="default" w:ascii="黑体" w:hAnsi="黑体" w:eastAsia="黑体" w:cs="黑体"/>
          <w:b/>
          <w:bCs/>
          <w:lang w:val="en-US" w:eastAsia="zh-CN"/>
        </w:rPr>
      </w:pPr>
      <w:r>
        <w:rPr>
          <w:rFonts w:hint="eastAsia" w:ascii="黑体" w:hAnsi="黑体" w:eastAsia="黑体" w:cs="黑体"/>
          <w:b/>
          <w:bCs/>
          <w:lang w:val="en-US" w:eastAsia="zh-CN"/>
        </w:rPr>
        <w:t>六、其他需要报告的事项</w:t>
      </w:r>
    </w:p>
    <w:p>
      <w:pPr>
        <w:keepNext w:val="0"/>
        <w:keepLines w:val="0"/>
        <w:pageBreakBefore w:val="0"/>
        <w:widowControl/>
        <w:kinsoku/>
        <w:wordWrap/>
        <w:overflowPunct/>
        <w:topLinePunct w:val="0"/>
        <w:autoSpaceDE/>
        <w:autoSpaceDN/>
        <w:bidi w:val="0"/>
        <w:adjustRightInd/>
        <w:snapToGrid/>
        <w:spacing w:line="500" w:lineRule="exact"/>
        <w:ind w:firstLine="632"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2022年度，本机关无收取信息处理费情况。</w:t>
      </w:r>
    </w:p>
    <w:p>
      <w:pPr>
        <w:keepNext w:val="0"/>
        <w:keepLines w:val="0"/>
        <w:pageBreakBefore w:val="0"/>
        <w:widowControl w:val="0"/>
        <w:kinsoku/>
        <w:wordWrap/>
        <w:overflowPunct/>
        <w:topLinePunct w:val="0"/>
        <w:autoSpaceDE/>
        <w:autoSpaceDN/>
        <w:bidi w:val="0"/>
        <w:adjustRightInd/>
        <w:snapToGrid/>
        <w:jc w:val="both"/>
        <w:textAlignment w:val="auto"/>
        <w:outlineLvl w:val="9"/>
        <w:rPr>
          <w:rFonts w:hint="default" w:ascii="仿宋" w:hAnsi="仿宋" w:eastAsia="仿宋_GB2312" w:cs="仿宋"/>
          <w:lang w:val="en-US" w:eastAsia="zh-CN"/>
        </w:rPr>
      </w:pPr>
    </w:p>
    <w:bookmarkEnd w:id="0"/>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MGIyNjY0Yzc3ZTI2ZTcyMzM2ZTU3Yzk2Mzk0ZTAifQ=="/>
  </w:docVars>
  <w:rsids>
    <w:rsidRoot w:val="105A4352"/>
    <w:rsid w:val="07F4584C"/>
    <w:rsid w:val="0BED0BAC"/>
    <w:rsid w:val="0DE75E67"/>
    <w:rsid w:val="0F6054BA"/>
    <w:rsid w:val="105A4352"/>
    <w:rsid w:val="11002822"/>
    <w:rsid w:val="13C635A2"/>
    <w:rsid w:val="206207B8"/>
    <w:rsid w:val="251A57A2"/>
    <w:rsid w:val="254F7E52"/>
    <w:rsid w:val="29A33DBF"/>
    <w:rsid w:val="2C27513E"/>
    <w:rsid w:val="2FFA44BE"/>
    <w:rsid w:val="37D50499"/>
    <w:rsid w:val="3A4D6E28"/>
    <w:rsid w:val="4079646E"/>
    <w:rsid w:val="41605AC0"/>
    <w:rsid w:val="46AE61B4"/>
    <w:rsid w:val="4A6C6248"/>
    <w:rsid w:val="4C1E7597"/>
    <w:rsid w:val="51771504"/>
    <w:rsid w:val="53BF3212"/>
    <w:rsid w:val="5CD0565E"/>
    <w:rsid w:val="5EEA0F31"/>
    <w:rsid w:val="62B507A6"/>
    <w:rsid w:val="63604736"/>
    <w:rsid w:val="6CD604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3429</Words>
  <Characters>3555</Characters>
  <Lines>0</Lines>
  <Paragraphs>0</Paragraphs>
  <TotalTime>49</TotalTime>
  <ScaleCrop>false</ScaleCrop>
  <LinksUpToDate>false</LinksUpToDate>
  <CharactersWithSpaces>3557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123</cp:lastModifiedBy>
  <cp:lastPrinted>2023-01-09T02:09:00Z</cp:lastPrinted>
  <dcterms:modified xsi:type="dcterms:W3CDTF">2023-01-13T07:54:20Z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E8353399FF4846F09A3DBCCBC948D991</vt:lpwstr>
  </property>
</Properties>
</file>