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樟树市民政局2023年政府信息公开工作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民政局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民政局联系（地址：江西省樟树市杏佛路86号，电话：0795-7362496，邮编：331200，电子邮箱：zsmzj888@126.com）。</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_GB2312" w:hAnsi="楷体_GB2312" w:eastAsia="楷体_GB2312" w:cs="楷体_GB2312"/>
          <w:b/>
          <w:bCs/>
          <w:highlight w:val="none"/>
          <w:lang w:val="en-US" w:eastAsia="zh-CN"/>
        </w:rPr>
      </w:pPr>
      <w:r>
        <w:rPr>
          <w:rFonts w:hint="eastAsia" w:ascii="楷体_GB2312" w:hAnsi="楷体_GB2312" w:eastAsia="楷体_GB2312" w:cs="楷体_GB2312"/>
          <w:b/>
          <w:bCs/>
          <w:highlight w:val="none"/>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今年以来，樟树市民政局紧扣《2023年樟树市政务公开工作要点》文件要求，严格遵照《樟树市网站栏目规划及责任单位划分》更新周期，结合我局工作实际，及时在樟树市政府门户网站主动公开政府信息138条，其中政策文件及政策解读文件共14条；工作动态信息54条；规划计划信息3条；行政执法信息5条；机构职能及部门财经信息10条；人大建议及政协提案办理信息10条；养老服务、社会救助和福利等重点领域信息共41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本年度我局未收到依申请公开件。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highlight w:val="none"/>
          <w:lang w:val="en-US" w:eastAsia="zh-CN"/>
        </w:rPr>
        <w:t>2023年度，我局按照市大数据发展中心统一要求，制定《樟树市民政局2023年政务公开工作要点》，进一步完善了信息发布审核机制，持续压紧压实信息公开“三审三校”责任，从政治导向、语言文字、政策法律等各方面把关，避免发生信息发布失实、失信、影响社会稳定等问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1.规范信息公开全面管理。</w:t>
      </w:r>
      <w:r>
        <w:rPr>
          <w:rFonts w:hint="eastAsia" w:ascii="仿宋_GB2312" w:hAnsi="仿宋_GB2312" w:eastAsia="仿宋_GB2312" w:cs="仿宋_GB2312"/>
          <w:b w:val="0"/>
          <w:bCs w:val="0"/>
          <w:sz w:val="32"/>
          <w:szCs w:val="32"/>
          <w:lang w:val="en-US" w:eastAsia="zh-CN"/>
        </w:rPr>
        <w:t>我局以政府门户网站作为唯一平台，全面做好政府信息公开各项工作，加大民政工作宣传力度，不断提高政务公开服务效率，严格对照相关规定要求，定期开展工作自查排查，发现问题及时整改，确保全局政府信息公开工作规范开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bCs/>
          <w:highlight w:val="none"/>
          <w:lang w:val="en-US" w:eastAsia="zh-CN"/>
        </w:rPr>
        <w:t>2.积极响应“固定开放月”活动。</w:t>
      </w:r>
      <w:r>
        <w:rPr>
          <w:rFonts w:hint="eastAsia" w:ascii="仿宋_GB2312" w:hAnsi="仿宋_GB2312" w:eastAsia="仿宋_GB2312" w:cs="仿宋_GB2312"/>
          <w:highlight w:val="none"/>
          <w:lang w:val="en-US" w:eastAsia="zh-CN"/>
        </w:rPr>
        <w:t>4月7日，我局开展以“倡导移风易俗，推进阳光殡葬”为主题的“政府固定开放月”活动，邀请人大代表、政协委员、群众、志愿者代表等10人前往我市殡葬服务所，通过实地参观了解殡仪服务工作环境及殡仪馆日常运作流程，让受邀代表切实感受近年来我市殡葬改革工作成效，充分扩展了群众关切政策的获取渠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_GB2312" w:hAnsi="楷体_GB2312" w:eastAsia="楷体_GB2312" w:cs="楷体_GB2312"/>
          <w:b/>
          <w:bCs/>
          <w:highlight w:val="none"/>
          <w:lang w:val="en-US" w:eastAsia="zh-CN"/>
        </w:rPr>
      </w:pPr>
      <w:r>
        <w:rPr>
          <w:rFonts w:hint="eastAsia" w:ascii="楷体_GB2312" w:hAnsi="楷体_GB2312" w:eastAsia="楷体_GB2312" w:cs="楷体_GB2312"/>
          <w:b/>
          <w:bCs/>
          <w:highlight w:val="none"/>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highlight w:val="none"/>
          <w:lang w:val="en-US" w:eastAsia="zh-CN"/>
        </w:rPr>
        <w:t>1.健全信息公开专职管理制度。</w:t>
      </w:r>
      <w:r>
        <w:rPr>
          <w:rFonts w:hint="eastAsia" w:ascii="仿宋_GB2312" w:hAnsi="仿宋_GB2312" w:eastAsia="仿宋_GB2312" w:cs="仿宋_GB2312"/>
          <w:b w:val="0"/>
          <w:bCs w:val="0"/>
          <w:highlight w:val="none"/>
          <w:lang w:val="en-US" w:eastAsia="zh-CN"/>
        </w:rPr>
        <w:t>明确政务公开工作分管领导，</w:t>
      </w:r>
      <w:r>
        <w:rPr>
          <w:rFonts w:hint="default" w:ascii="仿宋_GB2312" w:hAnsi="仿宋_GB2312" w:eastAsia="仿宋_GB2312" w:cs="仿宋_GB2312"/>
          <w:b w:val="0"/>
          <w:bCs w:val="0"/>
          <w:highlight w:val="none"/>
          <w:lang w:eastAsia="zh-CN"/>
        </w:rPr>
        <w:t>按照分工调整</w:t>
      </w:r>
      <w:r>
        <w:rPr>
          <w:rFonts w:hint="eastAsia" w:ascii="仿宋_GB2312" w:hAnsi="仿宋_GB2312" w:eastAsia="仿宋_GB2312" w:cs="仿宋_GB2312"/>
          <w:b w:val="0"/>
          <w:bCs w:val="0"/>
          <w:highlight w:val="none"/>
          <w:lang w:val="en-US" w:eastAsia="zh-CN"/>
        </w:rPr>
        <w:t>选优配强</w:t>
      </w:r>
      <w:r>
        <w:rPr>
          <w:rFonts w:hint="eastAsia" w:ascii="仿宋_GB2312" w:hAnsi="仿宋_GB2312" w:eastAsia="仿宋_GB2312" w:cs="仿宋_GB2312"/>
          <w:b w:val="0"/>
          <w:bCs w:val="0"/>
          <w:sz w:val="32"/>
          <w:szCs w:val="32"/>
          <w:lang w:val="en-US" w:eastAsia="zh-CN"/>
        </w:rPr>
        <w:t>政策解读专员、业务联络员负责政策解读及具体业务操作，确保职责落实到人，工作落实到位。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_GB2312" w:hAnsi="仿宋_GB2312" w:eastAsia="仿宋_GB2312" w:cs="仿宋_GB2312"/>
          <w:b w:val="0"/>
          <w:bCs w:val="0"/>
          <w:lang w:eastAsia="zh-CN"/>
        </w:rPr>
      </w:pPr>
      <w:r>
        <w:rPr>
          <w:rFonts w:hint="default"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健全政府信息审查发布机制</w:t>
      </w:r>
      <w:r>
        <w:rPr>
          <w:rFonts w:hint="default"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val="en-US" w:eastAsia="zh-CN"/>
        </w:rPr>
        <w:t>对在门户网站公开的政府信息进行内容审核和保密审查，确保公开信息依法、</w:t>
      </w:r>
      <w:r>
        <w:rPr>
          <w:rFonts w:hint="default" w:ascii="仿宋_GB2312" w:hAnsi="仿宋_GB2312" w:eastAsia="仿宋_GB2312" w:cs="仿宋_GB2312"/>
          <w:b w:val="0"/>
          <w:bCs w:val="0"/>
          <w:sz w:val="32"/>
          <w:szCs w:val="32"/>
          <w:lang w:eastAsia="zh-CN"/>
        </w:rPr>
        <w:t>合规</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eastAsia="zh-CN"/>
        </w:rPr>
        <w:t>及时、</w:t>
      </w:r>
      <w:r>
        <w:rPr>
          <w:rFonts w:hint="eastAsia" w:ascii="仿宋_GB2312" w:hAnsi="仿宋_GB2312" w:eastAsia="仿宋_GB2312" w:cs="仿宋_GB2312"/>
          <w:b w:val="0"/>
          <w:bCs w:val="0"/>
          <w:sz w:val="32"/>
          <w:szCs w:val="32"/>
          <w:lang w:val="en-US" w:eastAsia="zh-CN"/>
        </w:rPr>
        <w:t>全面、准确发布。</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二、行政机关主动公开政府信息情况</w:t>
      </w:r>
    </w:p>
    <w:tbl>
      <w:tblPr>
        <w:tblStyle w:val="6"/>
        <w:tblW w:w="9000" w:type="dxa"/>
        <w:jc w:val="center"/>
        <w:shd w:val="clear" w:color="auto" w:fill="auto"/>
        <w:tblLayout w:type="fixed"/>
        <w:tblCellMar>
          <w:top w:w="0" w:type="dxa"/>
          <w:left w:w="0" w:type="dxa"/>
          <w:bottom w:w="0" w:type="dxa"/>
          <w:right w:w="0" w:type="dxa"/>
        </w:tblCellMar>
      </w:tblPr>
      <w:tblGrid>
        <w:gridCol w:w="1726"/>
        <w:gridCol w:w="2424"/>
        <w:gridCol w:w="2424"/>
        <w:gridCol w:w="2426"/>
      </w:tblGrid>
      <w:tr>
        <w:tblPrEx>
          <w:shd w:val="clear" w:color="auto" w:fill="auto"/>
          <w:tblCellMar>
            <w:top w:w="0" w:type="dxa"/>
            <w:left w:w="0" w:type="dxa"/>
            <w:bottom w:w="0" w:type="dxa"/>
            <w:right w:w="0" w:type="dxa"/>
          </w:tblCellMar>
        </w:tblPrEx>
        <w:trPr>
          <w:trHeight w:val="177" w:hRule="atLeast"/>
          <w:jc w:val="center"/>
        </w:trPr>
        <w:tc>
          <w:tcPr>
            <w:tcW w:w="900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2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2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2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规章</w:t>
            </w:r>
          </w:p>
        </w:tc>
        <w:tc>
          <w:tcPr>
            <w:tcW w:w="24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c>
          <w:tcPr>
            <w:tcW w:w="24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c>
          <w:tcPr>
            <w:tcW w:w="2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行政规范性文件</w:t>
            </w:r>
          </w:p>
        </w:tc>
        <w:tc>
          <w:tcPr>
            <w:tcW w:w="24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1</w:t>
            </w:r>
          </w:p>
        </w:tc>
        <w:tc>
          <w:tcPr>
            <w:tcW w:w="24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default" w:ascii="宋体"/>
                <w:b w:val="0"/>
                <w:bCs w:val="0"/>
                <w:sz w:val="24"/>
                <w:szCs w:val="24"/>
                <w:lang w:val="en-US" w:eastAsia="zh-CN"/>
              </w:rPr>
            </w:pPr>
            <w:r>
              <w:rPr>
                <w:rFonts w:hint="eastAsia" w:ascii="宋体"/>
                <w:b w:val="0"/>
                <w:bCs w:val="0"/>
                <w:sz w:val="24"/>
                <w:szCs w:val="24"/>
                <w:lang w:val="en-US" w:eastAsia="zh-CN"/>
              </w:rPr>
              <w:t>1</w:t>
            </w:r>
          </w:p>
        </w:tc>
        <w:tc>
          <w:tcPr>
            <w:tcW w:w="2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default" w:ascii="宋体"/>
                <w:b w:val="0"/>
                <w:bCs w:val="0"/>
                <w:sz w:val="24"/>
                <w:szCs w:val="24"/>
                <w:lang w:val="en-US" w:eastAsia="zh-CN"/>
              </w:rPr>
            </w:pPr>
            <w:r>
              <w:rPr>
                <w:rFonts w:hint="eastAsia" w:ascii="宋体"/>
                <w:b w:val="0"/>
                <w:bCs w:val="0"/>
                <w:sz w:val="24"/>
                <w:szCs w:val="24"/>
                <w:lang w:val="en-US" w:eastAsia="zh-CN"/>
              </w:rPr>
              <w:t>3</w:t>
            </w:r>
          </w:p>
        </w:tc>
      </w:tr>
      <w:tr>
        <w:tblPrEx>
          <w:tblCellMar>
            <w:top w:w="0" w:type="dxa"/>
            <w:left w:w="0" w:type="dxa"/>
            <w:bottom w:w="0" w:type="dxa"/>
            <w:right w:w="0" w:type="dxa"/>
          </w:tblCellMar>
        </w:tblPrEx>
        <w:trPr>
          <w:trHeight w:val="177"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274"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行政许可</w:t>
            </w:r>
          </w:p>
        </w:tc>
        <w:tc>
          <w:tcPr>
            <w:tcW w:w="7274"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eastAsia="仿宋"/>
                <w:lang w:val="en-US" w:eastAsia="zh-CN"/>
              </w:rPr>
            </w:pPr>
            <w:r>
              <w:rPr>
                <w:rFonts w:hint="eastAsia" w:ascii="宋体" w:hAnsi="宋体" w:eastAsia="宋体" w:cs="宋体"/>
                <w:sz w:val="24"/>
                <w:szCs w:val="24"/>
                <w:lang w:val="en-US" w:eastAsia="zh-CN"/>
              </w:rPr>
              <w:t>28</w:t>
            </w:r>
          </w:p>
        </w:tc>
      </w:tr>
      <w:tr>
        <w:tblPrEx>
          <w:tblCellMar>
            <w:top w:w="0" w:type="dxa"/>
            <w:left w:w="0" w:type="dxa"/>
            <w:bottom w:w="0" w:type="dxa"/>
            <w:right w:w="0" w:type="dxa"/>
          </w:tblCellMar>
        </w:tblPrEx>
        <w:trPr>
          <w:trHeight w:val="177"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274"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行政处罚</w:t>
            </w:r>
          </w:p>
        </w:tc>
        <w:tc>
          <w:tcPr>
            <w:tcW w:w="7274"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pPr>
            <w:r>
              <w:rPr>
                <w:rFonts w:hint="eastAsia" w:ascii="宋体"/>
                <w:b w:val="0"/>
                <w:bCs w:val="0"/>
                <w:sz w:val="24"/>
                <w:szCs w:val="24"/>
                <w:lang w:val="en-US" w:eastAsia="zh-CN"/>
              </w:rPr>
              <w:t>0</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行政强制</w:t>
            </w:r>
          </w:p>
        </w:tc>
        <w:tc>
          <w:tcPr>
            <w:tcW w:w="7274"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pPr>
            <w:r>
              <w:rPr>
                <w:rFonts w:hint="eastAsia" w:ascii="宋体"/>
                <w:b w:val="0"/>
                <w:bCs w:val="0"/>
                <w:sz w:val="24"/>
                <w:szCs w:val="24"/>
                <w:lang w:val="en-US" w:eastAsia="zh-CN"/>
              </w:rPr>
              <w:t>0</w:t>
            </w:r>
          </w:p>
        </w:tc>
      </w:tr>
      <w:tr>
        <w:tblPrEx>
          <w:tblCellMar>
            <w:top w:w="0" w:type="dxa"/>
            <w:left w:w="0" w:type="dxa"/>
            <w:bottom w:w="0" w:type="dxa"/>
            <w:right w:w="0" w:type="dxa"/>
          </w:tblCellMar>
        </w:tblPrEx>
        <w:trPr>
          <w:trHeight w:val="177"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274"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183"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行政事业性收费</w:t>
            </w:r>
          </w:p>
        </w:tc>
        <w:tc>
          <w:tcPr>
            <w:tcW w:w="7274"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宋体" w:eastAsia="仿宋"/>
                <w:sz w:val="24"/>
                <w:szCs w:val="24"/>
                <w:lang w:val="en-US" w:eastAsia="zh-CN"/>
              </w:rPr>
            </w:pPr>
            <w:r>
              <w:rPr>
                <w:rFonts w:hint="eastAsia" w:ascii="宋体"/>
                <w:b w:val="0"/>
                <w:bCs w:val="0"/>
                <w:sz w:val="24"/>
                <w:szCs w:val="24"/>
                <w:lang w:val="en-US" w:eastAsia="zh-CN"/>
              </w:rPr>
              <w:t>992.67</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楷体_GB2312" w:hAnsi="楷体_GB2312" w:eastAsia="楷体_GB2312" w:cs="楷体_GB2312"/>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688"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宋体"/>
                <w:sz w:val="24"/>
                <w:szCs w:val="24"/>
              </w:rPr>
            </w:pP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single" w:color="auto" w:sz="4" w:space="0"/>
              <w:left w:val="single" w:color="auto" w:sz="8" w:space="0"/>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3414"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restart"/>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single" w:color="auto" w:sz="4"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single" w:color="auto" w:sz="4" w:space="0"/>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restart"/>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restart"/>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restart"/>
            <w:tcBorders>
              <w:top w:val="outset" w:color="auto" w:sz="8" w:space="0"/>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outset" w:color="auto" w:sz="8" w:space="0"/>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outset" w:color="auto" w:sz="8" w:space="0"/>
              <w:left w:val="single" w:color="auto" w:sz="4"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3414" w:type="dxa"/>
            <w:gridSpan w:val="2"/>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五、政府信息公开工作存在的主要问题及改进情况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2023年，我局政府信息公开工作虽然做了大量工作，但与社会公众对政府信息公开的需求还存在一定的差距，主要表现在：主动公开政府信息不够丰富；政府信息公开宣传力度不够，公众参与度不高。2024年，我局将进一步加大政务信息公开工作力度，重点做好以下几方面工作：</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一是强化网站内容保障。</w:t>
      </w:r>
      <w:r>
        <w:rPr>
          <w:rFonts w:hint="eastAsia" w:ascii="仿宋_GB2312" w:hAnsi="仿宋_GB2312" w:eastAsia="仿宋_GB2312" w:cs="仿宋_GB2312"/>
          <w:lang w:val="en-US" w:eastAsia="zh-CN"/>
        </w:rPr>
        <w:t>根据工作安排，围绕重点领域及群众关切信息丰富公开内容，及时宣传报道和表扬先进典型，同时加强内容审核，扩大政府信息公开影响力。</w:t>
      </w:r>
      <w:r>
        <w:rPr>
          <w:rFonts w:hint="eastAsia" w:ascii="仿宋_GB2312" w:hAnsi="仿宋_GB2312" w:eastAsia="仿宋_GB2312" w:cs="仿宋_GB2312"/>
          <w:b/>
          <w:bCs/>
          <w:lang w:val="en-US" w:eastAsia="zh-CN"/>
        </w:rPr>
        <w:t>二是加大对政府信息公开的宣传力度。</w:t>
      </w:r>
      <w:r>
        <w:rPr>
          <w:rFonts w:hint="eastAsia" w:ascii="仿宋_GB2312" w:hAnsi="仿宋_GB2312" w:eastAsia="仿宋_GB2312" w:cs="仿宋_GB2312"/>
          <w:lang w:val="en-US" w:eastAsia="zh-CN"/>
        </w:rPr>
        <w:t>充分利用集中学习、培训和宣讲等形式开展政府信息公开的宣传工作，提升政府信息公开工作知晓度。</w:t>
      </w:r>
      <w:r>
        <w:rPr>
          <w:rFonts w:hint="eastAsia" w:ascii="仿宋_GB2312" w:hAnsi="仿宋_GB2312" w:eastAsia="仿宋_GB2312" w:cs="仿宋_GB2312"/>
          <w:b/>
          <w:bCs/>
          <w:lang w:val="en-US" w:eastAsia="zh-CN"/>
        </w:rPr>
        <w:t>三是着力提高政民互动工作质效。</w:t>
      </w:r>
      <w:r>
        <w:rPr>
          <w:rFonts w:hint="eastAsia" w:ascii="仿宋_GB2312" w:hAnsi="仿宋_GB2312" w:eastAsia="仿宋_GB2312" w:cs="仿宋_GB2312"/>
          <w:b w:val="0"/>
          <w:bCs w:val="0"/>
          <w:lang w:val="en-US" w:eastAsia="zh-CN"/>
        </w:rPr>
        <w:t>持续</w:t>
      </w:r>
      <w:r>
        <w:rPr>
          <w:rFonts w:hint="eastAsia" w:ascii="仿宋_GB2312" w:hAnsi="仿宋_GB2312" w:eastAsia="仿宋_GB2312" w:cs="仿宋_GB2312"/>
          <w:lang w:val="en-US" w:eastAsia="zh-CN"/>
        </w:rPr>
        <w:t>响应政府“固定开放月”相关活动，坚持形式内容共同创新，进一步扩展互动渠道，深化政民互动交流。</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六、其他需要报告的事项</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rPr>
          <w:rFonts w:hint="default" w:ascii="仿宋" w:hAnsi="仿宋" w:eastAsia="仿宋_GB2312" w:cs="仿宋"/>
          <w:lang w:val="en-US" w:eastAsia="zh-CN"/>
        </w:rPr>
      </w:pPr>
      <w:r>
        <w:rPr>
          <w:rFonts w:hint="eastAsia" w:ascii="仿宋_GB2312" w:hAnsi="仿宋_GB2312" w:eastAsia="仿宋_GB2312" w:cs="仿宋_GB2312"/>
          <w:lang w:val="en-US" w:eastAsia="zh-CN"/>
        </w:rPr>
        <w:t>2023年度，本机关无收取信息处理费情况。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MGIyNjY0Yzc3ZTI2ZTcyMzM2ZTU3Yzk2Mzk0ZTAifQ=="/>
  </w:docVars>
  <w:rsids>
    <w:rsidRoot w:val="105A4352"/>
    <w:rsid w:val="07F4584C"/>
    <w:rsid w:val="0BED0BAC"/>
    <w:rsid w:val="0DE75E67"/>
    <w:rsid w:val="0F6054BA"/>
    <w:rsid w:val="0F9D8391"/>
    <w:rsid w:val="105A4352"/>
    <w:rsid w:val="11002822"/>
    <w:rsid w:val="123828EF"/>
    <w:rsid w:val="13C635A2"/>
    <w:rsid w:val="206207B8"/>
    <w:rsid w:val="251A57A2"/>
    <w:rsid w:val="254F7E52"/>
    <w:rsid w:val="29A33DBF"/>
    <w:rsid w:val="29DA6154"/>
    <w:rsid w:val="2C27513E"/>
    <w:rsid w:val="2FFA44BE"/>
    <w:rsid w:val="35BB6E42"/>
    <w:rsid w:val="37D50499"/>
    <w:rsid w:val="3A4D6E28"/>
    <w:rsid w:val="3DA84554"/>
    <w:rsid w:val="4079646E"/>
    <w:rsid w:val="41605AC0"/>
    <w:rsid w:val="46AE61B4"/>
    <w:rsid w:val="4A6C6248"/>
    <w:rsid w:val="4C1E7597"/>
    <w:rsid w:val="4C7600E4"/>
    <w:rsid w:val="51771504"/>
    <w:rsid w:val="53BF3212"/>
    <w:rsid w:val="55B72C23"/>
    <w:rsid w:val="5CD0565E"/>
    <w:rsid w:val="5EEA0F31"/>
    <w:rsid w:val="62B507A6"/>
    <w:rsid w:val="63604736"/>
    <w:rsid w:val="6CD60491"/>
    <w:rsid w:val="71C051BF"/>
    <w:rsid w:val="75D02165"/>
    <w:rsid w:val="BF9D5CA7"/>
    <w:rsid w:val="F67BAAE4"/>
    <w:rsid w:val="FBFF8036"/>
    <w:rsid w:val="FFF660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3429</Words>
  <Characters>3555</Characters>
  <Lines>0</Lines>
  <Paragraphs>0</Paragraphs>
  <TotalTime>36</TotalTime>
  <ScaleCrop>false</ScaleCrop>
  <LinksUpToDate>false</LinksUpToDate>
  <CharactersWithSpaces>3557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2021-12-23T08:52:00Z</dcterms:created>
  <dc:creator>Administrator</dc:creator>
  <cp:lastModifiedBy>雅紫</cp:lastModifiedBy>
  <cp:lastPrinted>2024-01-18T02:34:00Z</cp:lastPrinted>
  <dcterms:modified xsi:type="dcterms:W3CDTF">2024-01-18T08:12:15Z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7A4C87CB86784DC3A60BC74861863513_13</vt:lpwstr>
  </property>
  <property fmtid="{D5CDD505-2E9C-101B-9397-08002B2CF9AE}" pid="4" name="woTemplateTypoMode" linkTarget="0">
    <vt:lpwstr>web</vt:lpwstr>
  </property>
  <property fmtid="{D5CDD505-2E9C-101B-9397-08002B2CF9AE}" pid="5" name="woTemplate" linkTarget="0">
    <vt:i4>1</vt:i4>
  </property>
</Properties>
</file>