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i w:val="0"/>
          <w:caps w:val="0"/>
          <w:color w:val="333333"/>
          <w:spacing w:val="0"/>
          <w:sz w:val="44"/>
          <w:szCs w:val="44"/>
          <w:shd w:val="clear" w:fill="FFFFFF"/>
        </w:rPr>
      </w:pPr>
      <w:bookmarkStart w:id="0" w:name="_GoBack"/>
      <w:r>
        <w:rPr>
          <w:rFonts w:hint="eastAsia" w:ascii="宋体" w:hAnsi="宋体" w:eastAsia="宋体" w:cs="宋体"/>
          <w:b/>
          <w:i w:val="0"/>
          <w:caps w:val="0"/>
          <w:color w:val="333333"/>
          <w:spacing w:val="0"/>
          <w:kern w:val="0"/>
          <w:sz w:val="44"/>
          <w:szCs w:val="44"/>
          <w:u w:val="none"/>
          <w:shd w:val="clear" w:fill="FFFFFF"/>
          <w:lang w:val="en-US" w:eastAsia="zh-CN" w:bidi="ar"/>
        </w:rPr>
        <w:t>阁山镇</w:t>
      </w:r>
      <w:r>
        <w:rPr>
          <w:rFonts w:hint="eastAsia" w:ascii="宋体" w:hAnsi="宋体" w:eastAsia="宋体" w:cs="宋体"/>
          <w:b/>
          <w:i w:val="0"/>
          <w:caps w:val="0"/>
          <w:color w:val="333333"/>
          <w:spacing w:val="0"/>
          <w:sz w:val="44"/>
          <w:szCs w:val="44"/>
          <w:shd w:val="clear" w:fill="FFFFFF"/>
          <w:lang w:val="en-US" w:eastAsia="zh-CN"/>
        </w:rPr>
        <w:t>2020年</w:t>
      </w:r>
      <w:r>
        <w:rPr>
          <w:rFonts w:hint="eastAsia" w:ascii="宋体" w:hAnsi="宋体" w:eastAsia="宋体" w:cs="宋体"/>
          <w:b/>
          <w:i w:val="0"/>
          <w:caps w:val="0"/>
          <w:color w:val="333333"/>
          <w:spacing w:val="0"/>
          <w:sz w:val="44"/>
          <w:szCs w:val="44"/>
          <w:shd w:val="clear" w:fill="FFFFFF"/>
        </w:rPr>
        <w:t>政府信息公开工作年度报告</w:t>
      </w:r>
    </w:p>
    <w:bookmarkEnd w:id="0"/>
    <w:p>
      <w:pPr>
        <w:keepNext w:val="0"/>
        <w:keepLines w:val="0"/>
        <w:pageBreakBefore w:val="0"/>
        <w:widowControl/>
        <w:suppressLineNumbers w:val="0"/>
        <w:kinsoku/>
        <w:overflowPunct/>
        <w:topLinePunct w:val="0"/>
        <w:autoSpaceDE/>
        <w:autoSpaceDN/>
        <w:bidi w:val="0"/>
        <w:adjustRightInd/>
        <w:snapToGrid/>
        <w:spacing w:line="500" w:lineRule="exact"/>
        <w:jc w:val="both"/>
        <w:textAlignment w:val="auto"/>
        <w:rPr>
          <w:rFonts w:hint="eastAsia" w:ascii="宋体" w:hAnsi="宋体" w:eastAsia="宋体" w:cs="宋体"/>
          <w:b/>
          <w:i w:val="0"/>
          <w:caps w:val="0"/>
          <w:color w:val="333333"/>
          <w:spacing w:val="0"/>
          <w:sz w:val="28"/>
          <w:szCs w:val="28"/>
          <w:shd w:val="clear" w:fill="FFFFFF"/>
        </w:rPr>
      </w:pPr>
      <w:r>
        <w:rPr>
          <w:rFonts w:hint="eastAsia" w:ascii="宋体" w:hAnsi="宋体" w:eastAsia="宋体" w:cs="宋体"/>
          <w:i w:val="0"/>
          <w:caps w:val="0"/>
          <w:color w:val="333333"/>
          <w:spacing w:val="0"/>
          <w:sz w:val="32"/>
          <w:szCs w:val="32"/>
          <w:lang w:val="en-US" w:eastAsia="zh-CN"/>
        </w:rPr>
        <w:t xml:space="preserve">    </w:t>
      </w:r>
      <w:r>
        <w:rPr>
          <w:rFonts w:hint="eastAsia" w:ascii="宋体" w:hAnsi="宋体" w:eastAsia="宋体" w:cs="宋体"/>
          <w:i w:val="0"/>
          <w:caps w:val="0"/>
          <w:color w:val="636267"/>
          <w:spacing w:val="0"/>
          <w:kern w:val="0"/>
          <w:sz w:val="28"/>
          <w:szCs w:val="28"/>
          <w:u w:val="none"/>
          <w:shd w:val="clear" w:fill="FFFFFF"/>
          <w:lang w:val="en-US" w:eastAsia="zh-CN" w:bidi="ar"/>
        </w:rPr>
        <w:t>本报告依据《中华人民共和国政府信息公开条例》（国务院令第711号，以下简称新《条例》）和《国务院办公厅政府信息与政务公开办公室关于政府信息公开工作年度报告有关事项的通知》（国办公开办函〔2019〕60号）要求，由阁山镇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樟树市人民政府网站（http://www.zhangshu.gov.cn）下载。如对本报告有任何疑问，请与阁山镇人民政府办公室联系（地址：樟树市阁山镇府前路1号，电话：0795-7161260，邮编：331205）。</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b w:val="0"/>
          <w:i w:val="0"/>
          <w:caps w:val="0"/>
          <w:color w:val="636267"/>
          <w:spacing w:val="0"/>
          <w:sz w:val="28"/>
          <w:szCs w:val="28"/>
          <w:u w:val="none"/>
          <w:shd w:val="clear" w:fill="FFFFFF"/>
        </w:rPr>
      </w:pPr>
      <w:r>
        <w:rPr>
          <w:rFonts w:hint="eastAsia" w:ascii="宋体" w:hAnsi="宋体" w:eastAsia="宋体" w:cs="宋体"/>
          <w:b w:val="0"/>
          <w:i w:val="0"/>
          <w:caps w:val="0"/>
          <w:color w:val="636267"/>
          <w:spacing w:val="0"/>
          <w:sz w:val="28"/>
          <w:szCs w:val="28"/>
          <w:u w:val="none"/>
          <w:shd w:val="clear" w:fill="FFFFFF"/>
        </w:rPr>
        <w:t>总体情况</w:t>
      </w:r>
    </w:p>
    <w:p>
      <w:pPr>
        <w:keepNext w:val="0"/>
        <w:keepLines w:val="0"/>
        <w:pageBreakBefore w:val="0"/>
        <w:numPr>
          <w:ilvl w:val="0"/>
          <w:numId w:val="0"/>
        </w:numPr>
        <w:kinsoku/>
        <w:overflowPunct/>
        <w:topLinePunct w:val="0"/>
        <w:autoSpaceDE/>
        <w:autoSpaceDN/>
        <w:bidi w:val="0"/>
        <w:adjustRightInd/>
        <w:snapToGrid/>
        <w:spacing w:line="500" w:lineRule="exact"/>
        <w:ind w:firstLine="560" w:firstLineChars="200"/>
        <w:textAlignment w:val="auto"/>
        <w:rPr>
          <w:rFonts w:hint="eastAsia" w:ascii="宋体" w:hAnsi="宋体" w:eastAsia="宋体" w:cs="宋体"/>
          <w:i w:val="0"/>
          <w:caps w:val="0"/>
          <w:color w:val="636267"/>
          <w:spacing w:val="0"/>
          <w:sz w:val="28"/>
          <w:szCs w:val="28"/>
          <w:u w:val="none"/>
          <w:shd w:val="clear" w:fill="FFFFFF"/>
        </w:rPr>
      </w:pPr>
      <w:r>
        <w:rPr>
          <w:rFonts w:hint="eastAsia" w:ascii="宋体" w:hAnsi="宋体" w:eastAsia="宋体" w:cs="宋体"/>
          <w:i w:val="0"/>
          <w:caps w:val="0"/>
          <w:color w:val="636267"/>
          <w:spacing w:val="0"/>
          <w:kern w:val="0"/>
          <w:sz w:val="28"/>
          <w:szCs w:val="28"/>
          <w:u w:val="none"/>
          <w:shd w:val="clear" w:fill="FFFFFF"/>
          <w:lang w:val="en-US" w:eastAsia="zh-CN" w:bidi="ar"/>
        </w:rPr>
        <w:t>2020年我镇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紧紧围绕省委、省政府中心工作及社会群众关注关切，着力提升政府信息公开质量，推进拓宽政府信息公开渠道，不断增强政府信息公开实效。</w:t>
      </w:r>
      <w:r>
        <w:rPr>
          <w:rFonts w:hint="eastAsia" w:ascii="宋体" w:hAnsi="宋体" w:eastAsia="宋体" w:cs="宋体"/>
          <w:i w:val="0"/>
          <w:caps w:val="0"/>
          <w:color w:val="636267"/>
          <w:spacing w:val="0"/>
          <w:sz w:val="28"/>
          <w:szCs w:val="28"/>
          <w:u w:val="none"/>
          <w:shd w:val="clear" w:fill="FFFFFF"/>
        </w:rPr>
        <w:t>在镇党委、政府的具体指导下以及全体工作人员的共同努力下，始终坚持以人为本、执政为民理念，以转变职能、优化服务、方便群众、提高办事效率为目标，不断拓展政务服务的功能，提高政务服务效率，规范政务服务行为。现将一年来我镇政务信息公开工作总结如下：</w:t>
      </w:r>
    </w:p>
    <w:p>
      <w:pPr>
        <w:keepNext w:val="0"/>
        <w:keepLines w:val="0"/>
        <w:pageBreakBefore w:val="0"/>
        <w:numPr>
          <w:ilvl w:val="0"/>
          <w:numId w:val="0"/>
        </w:numPr>
        <w:kinsoku/>
        <w:overflowPunct/>
        <w:topLinePunct w:val="0"/>
        <w:autoSpaceDE/>
        <w:autoSpaceDN/>
        <w:bidi w:val="0"/>
        <w:adjustRightInd/>
        <w:snapToGrid/>
        <w:spacing w:line="500" w:lineRule="exact"/>
        <w:ind w:firstLine="560" w:firstLineChars="200"/>
        <w:textAlignment w:val="auto"/>
        <w:rPr>
          <w:rFonts w:hint="eastAsia" w:ascii="宋体" w:hAnsi="宋体" w:eastAsia="宋体" w:cs="宋体"/>
          <w:i w:val="0"/>
          <w:caps w:val="0"/>
          <w:color w:val="636267"/>
          <w:spacing w:val="0"/>
          <w:sz w:val="28"/>
          <w:szCs w:val="28"/>
          <w:u w:val="none"/>
          <w:shd w:val="clear" w:fill="FFFFFF"/>
        </w:rPr>
      </w:pPr>
    </w:p>
    <w:p>
      <w:pPr>
        <w:keepNext w:val="0"/>
        <w:keepLines w:val="0"/>
        <w:pageBreakBefore w:val="0"/>
        <w:numPr>
          <w:ilvl w:val="0"/>
          <w:numId w:val="0"/>
        </w:numPr>
        <w:kinsoku/>
        <w:overflowPunct/>
        <w:topLinePunct w:val="0"/>
        <w:autoSpaceDE/>
        <w:autoSpaceDN/>
        <w:bidi w:val="0"/>
        <w:adjustRightInd/>
        <w:snapToGrid/>
        <w:spacing w:line="500" w:lineRule="exact"/>
        <w:ind w:firstLine="560" w:firstLineChars="200"/>
        <w:textAlignment w:val="auto"/>
        <w:rPr>
          <w:rFonts w:hint="eastAsia" w:ascii="宋体" w:hAnsi="宋体" w:eastAsia="宋体" w:cs="宋体"/>
          <w:i w:val="0"/>
          <w:caps w:val="0"/>
          <w:color w:val="636267"/>
          <w:spacing w:val="0"/>
          <w:sz w:val="28"/>
          <w:szCs w:val="28"/>
          <w:u w:val="none"/>
          <w:shd w:val="clear" w:fill="FFFFFF"/>
        </w:rPr>
      </w:pPr>
    </w:p>
    <w:p>
      <w:pPr>
        <w:keepNext w:val="0"/>
        <w:keepLines w:val="0"/>
        <w:pageBreakBefore w:val="0"/>
        <w:numPr>
          <w:ilvl w:val="0"/>
          <w:numId w:val="0"/>
        </w:numPr>
        <w:kinsoku/>
        <w:overflowPunct/>
        <w:topLinePunct w:val="0"/>
        <w:autoSpaceDE/>
        <w:autoSpaceDN/>
        <w:bidi w:val="0"/>
        <w:adjustRightInd/>
        <w:snapToGrid/>
        <w:spacing w:line="500" w:lineRule="exact"/>
        <w:ind w:firstLine="280" w:firstLineChars="100"/>
        <w:textAlignment w:val="auto"/>
        <w:rPr>
          <w:rFonts w:hint="eastAsia" w:ascii="宋体" w:hAnsi="宋体" w:eastAsia="宋体" w:cs="宋体"/>
          <w:i w:val="0"/>
          <w:caps w:val="0"/>
          <w:color w:val="636267"/>
          <w:spacing w:val="0"/>
          <w:kern w:val="0"/>
          <w:sz w:val="28"/>
          <w:szCs w:val="28"/>
          <w:u w:val="none"/>
          <w:shd w:val="clear" w:fill="FFFFFF"/>
          <w:lang w:val="en-US" w:eastAsia="zh-CN" w:bidi="ar"/>
        </w:rPr>
      </w:pPr>
      <w:r>
        <w:rPr>
          <w:rFonts w:hint="eastAsia" w:ascii="宋体" w:hAnsi="宋体" w:eastAsia="宋体" w:cs="宋体"/>
          <w:i w:val="0"/>
          <w:caps w:val="0"/>
          <w:color w:val="636267"/>
          <w:spacing w:val="0"/>
          <w:kern w:val="0"/>
          <w:sz w:val="28"/>
          <w:szCs w:val="28"/>
          <w:u w:val="none"/>
          <w:shd w:val="clear" w:fill="FFFFFF"/>
          <w:lang w:val="en-US" w:eastAsia="zh-CN" w:bidi="ar"/>
        </w:rPr>
        <w:t>（一）主动公开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555"/>
        <w:jc w:val="both"/>
        <w:textAlignment w:val="auto"/>
        <w:rPr>
          <w:rFonts w:hint="eastAsia" w:ascii="宋体" w:hAnsi="宋体" w:eastAsia="宋体" w:cs="宋体"/>
          <w:i w:val="0"/>
          <w:caps w:val="0"/>
          <w:color w:val="636267"/>
          <w:spacing w:val="0"/>
          <w:sz w:val="28"/>
          <w:szCs w:val="28"/>
          <w:u w:val="none"/>
          <w:shd w:val="clear" w:fill="FFFFFF"/>
        </w:rPr>
      </w:pPr>
      <w:r>
        <w:rPr>
          <w:rFonts w:hint="eastAsia" w:ascii="宋体" w:hAnsi="宋体" w:eastAsia="宋体" w:cs="宋体"/>
          <w:i w:val="0"/>
          <w:caps w:val="0"/>
          <w:color w:val="636267"/>
          <w:spacing w:val="0"/>
          <w:sz w:val="28"/>
          <w:szCs w:val="28"/>
          <w:u w:val="none"/>
          <w:shd w:val="clear" w:fill="FFFFFF"/>
        </w:rPr>
        <w:t>在公开内容上，我镇根据工作实际和群众需要，以“权、钱、人、物”为重点，除国家法律、法规、规章规定的保密事项外，所有与群众切身利益相关的，与廉政建设密切相关的事项均作为公开的内容。在公开职能职责、办事程序、办事依据、办事时限、办事结果等的基础上，加大推行阳光政务、建设阳光政府力度，拓展扩面，重点在以下方面进行了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555"/>
        <w:jc w:val="both"/>
        <w:textAlignment w:val="auto"/>
        <w:rPr>
          <w:rFonts w:hint="eastAsia" w:ascii="宋体" w:hAnsi="宋体" w:eastAsia="宋体" w:cs="宋体"/>
          <w:i w:val="0"/>
          <w:caps w:val="0"/>
          <w:color w:val="636267"/>
          <w:spacing w:val="0"/>
          <w:sz w:val="28"/>
          <w:szCs w:val="28"/>
          <w:u w:val="none"/>
          <w:shd w:val="clear" w:fill="FFFFFF"/>
        </w:rPr>
      </w:pPr>
      <w:r>
        <w:rPr>
          <w:rFonts w:hint="eastAsia" w:ascii="宋体" w:hAnsi="宋体" w:eastAsia="宋体" w:cs="宋体"/>
          <w:i w:val="0"/>
          <w:caps w:val="0"/>
          <w:color w:val="636267"/>
          <w:spacing w:val="0"/>
          <w:sz w:val="28"/>
          <w:szCs w:val="28"/>
          <w:u w:val="none"/>
          <w:shd w:val="clear" w:fill="FFFFFF"/>
        </w:rPr>
        <w:t>一是公开涉及经济和社会发展的全局性问题。包括镇党政领导及机关各部门人员机构设置及变动情况，全镇经济和社会发展主要指标执行、完成情况，涉及全镇经济和社会发展重大政策的出台、落实情况等。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555"/>
        <w:jc w:val="both"/>
        <w:textAlignment w:val="auto"/>
        <w:rPr>
          <w:rFonts w:hint="eastAsia" w:ascii="宋体" w:hAnsi="宋体" w:eastAsia="宋体" w:cs="宋体"/>
          <w:i w:val="0"/>
          <w:caps w:val="0"/>
          <w:color w:val="636267"/>
          <w:spacing w:val="0"/>
          <w:sz w:val="28"/>
          <w:szCs w:val="28"/>
          <w:u w:val="none"/>
          <w:shd w:val="clear" w:fill="FFFFFF"/>
        </w:rPr>
      </w:pPr>
      <w:r>
        <w:rPr>
          <w:rFonts w:hint="eastAsia" w:ascii="宋体" w:hAnsi="宋体" w:eastAsia="宋体" w:cs="宋体"/>
          <w:i w:val="0"/>
          <w:caps w:val="0"/>
          <w:color w:val="636267"/>
          <w:spacing w:val="0"/>
          <w:sz w:val="28"/>
          <w:szCs w:val="28"/>
          <w:u w:val="none"/>
          <w:shd w:val="clear" w:fill="FFFFFF"/>
        </w:rPr>
        <w:t>二是公开群众关心、社会关注的热点、难点问题。包括重大基础设施建设项目及其招投标情况，如敬老院建设，进行公开招投标；政府投资建设的公益事业情况，如城乡环境治理硬件设施建设；政府行政审批项目、程序的执行情况，着力加强了便民服务中心的建设；政府承诺为群众办实事的事项及完成情况；直接影响公民、法人或其他组织权益的事项等。同时我镇还加强了粮补、家电下乡等国家政策补贴的集中公开；对为办民实事目标，我镇不仅加强在群众和各方人士中征集意见，还将工作完成情况向社会公布，通过将这些热点、难点问题及时、有效地公开，政务公开工作得到群众的支持，发展态势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555"/>
        <w:jc w:val="both"/>
        <w:textAlignment w:val="auto"/>
        <w:rPr>
          <w:rFonts w:hint="eastAsia" w:ascii="宋体" w:hAnsi="宋体" w:eastAsia="宋体" w:cs="宋体"/>
          <w:i w:val="0"/>
          <w:caps w:val="0"/>
          <w:color w:val="636267"/>
          <w:spacing w:val="0"/>
          <w:sz w:val="28"/>
          <w:szCs w:val="28"/>
          <w:u w:val="none"/>
          <w:shd w:val="clear" w:fill="FFFFFF"/>
        </w:rPr>
      </w:pPr>
      <w:r>
        <w:rPr>
          <w:rFonts w:hint="eastAsia" w:ascii="宋体" w:hAnsi="宋体" w:eastAsia="宋体" w:cs="宋体"/>
          <w:i w:val="0"/>
          <w:caps w:val="0"/>
          <w:color w:val="636267"/>
          <w:spacing w:val="0"/>
          <w:sz w:val="28"/>
          <w:szCs w:val="28"/>
          <w:u w:val="none"/>
          <w:shd w:val="clear" w:fill="FFFFFF"/>
        </w:rPr>
        <w:t>三是公开与廉政建设相关的突出性问题。重点对涉及人、财、物等核心内容的事项进行公开，对专项经费的分配、使用，重要物资招标采购，公用经费使用，工程发包，土地征占用，安全工作，评先评优，办事程序和条件等实行有效制衡和有效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right="0" w:firstLine="280" w:firstLineChars="100"/>
        <w:jc w:val="both"/>
        <w:textAlignment w:val="auto"/>
        <w:rPr>
          <w:rFonts w:hint="eastAsia" w:ascii="宋体" w:hAnsi="宋体" w:eastAsia="宋体" w:cs="宋体"/>
          <w:i w:val="0"/>
          <w:caps w:val="0"/>
          <w:color w:val="636267"/>
          <w:spacing w:val="0"/>
          <w:sz w:val="28"/>
          <w:szCs w:val="28"/>
          <w:u w:val="none"/>
          <w:shd w:val="clear" w:fill="FFFFFF"/>
          <w:lang w:eastAsia="zh-CN"/>
        </w:rPr>
      </w:pPr>
      <w:r>
        <w:rPr>
          <w:rFonts w:hint="eastAsia" w:ascii="宋体" w:hAnsi="宋体" w:eastAsia="宋体" w:cs="宋体"/>
          <w:i w:val="0"/>
          <w:caps w:val="0"/>
          <w:color w:val="636267"/>
          <w:spacing w:val="0"/>
          <w:sz w:val="28"/>
          <w:szCs w:val="28"/>
          <w:u w:val="none"/>
          <w:shd w:val="clear" w:fill="FFFFFF"/>
        </w:rPr>
        <w:t>（</w:t>
      </w:r>
      <w:r>
        <w:rPr>
          <w:rFonts w:hint="eastAsia" w:ascii="宋体" w:hAnsi="宋体" w:eastAsia="宋体" w:cs="宋体"/>
          <w:i w:val="0"/>
          <w:caps w:val="0"/>
          <w:color w:val="636267"/>
          <w:spacing w:val="0"/>
          <w:sz w:val="28"/>
          <w:szCs w:val="28"/>
          <w:u w:val="none"/>
          <w:shd w:val="clear" w:fill="FFFFFF"/>
          <w:lang w:eastAsia="zh-CN"/>
        </w:rPr>
        <w:t>二</w:t>
      </w:r>
      <w:r>
        <w:rPr>
          <w:rFonts w:hint="eastAsia" w:ascii="宋体" w:hAnsi="宋体" w:eastAsia="宋体" w:cs="宋体"/>
          <w:i w:val="0"/>
          <w:caps w:val="0"/>
          <w:color w:val="636267"/>
          <w:spacing w:val="0"/>
          <w:sz w:val="28"/>
          <w:szCs w:val="28"/>
          <w:u w:val="none"/>
          <w:shd w:val="clear" w:fill="FFFFFF"/>
        </w:rPr>
        <w:t>）</w:t>
      </w:r>
      <w:r>
        <w:rPr>
          <w:rFonts w:hint="eastAsia" w:ascii="宋体" w:hAnsi="宋体" w:eastAsia="宋体" w:cs="宋体"/>
          <w:i w:val="0"/>
          <w:caps w:val="0"/>
          <w:color w:val="636267"/>
          <w:spacing w:val="0"/>
          <w:sz w:val="28"/>
          <w:szCs w:val="28"/>
          <w:u w:val="none"/>
          <w:shd w:val="clear" w:fill="FFFFFF"/>
          <w:lang w:eastAsia="zh-CN"/>
        </w:rPr>
        <w:t>依申请公开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555"/>
        <w:jc w:val="both"/>
        <w:textAlignment w:val="auto"/>
        <w:rPr>
          <w:rFonts w:hint="eastAsia" w:ascii="宋体" w:hAnsi="宋体" w:eastAsia="宋体" w:cs="宋体"/>
          <w:sz w:val="28"/>
          <w:szCs w:val="28"/>
          <w:u w:val="none"/>
        </w:rPr>
      </w:pPr>
      <w:r>
        <w:rPr>
          <w:rFonts w:hint="eastAsia" w:ascii="宋体" w:hAnsi="宋体" w:eastAsia="宋体" w:cs="宋体"/>
          <w:i w:val="0"/>
          <w:caps w:val="0"/>
          <w:color w:val="636267"/>
          <w:spacing w:val="0"/>
          <w:sz w:val="28"/>
          <w:szCs w:val="28"/>
          <w:u w:val="none"/>
          <w:shd w:val="clear" w:fill="FFFFFF"/>
        </w:rPr>
        <w:t>为进一步做好政务公开工作，切实推进政府信息公开，促进行政权力公开透明运行，营造率先发展、科学发展、又好又快发展的良好环境，我镇着眼于建立政务信息公开长效机制，切实加强领导，精心组织实施，使政务公开成为一种自觉的意识和行为。为有力有效推进政务公开工作，成立了由镇党委书记赵勇任组长，镇长胡国平任副组长，党政办公室人员为成员的政务公开领导小组。明确了有关职责，做到了领导、机构、人员“三到位”。设置了专门人员负责政务公开的具体事务，为政府信息公开提供了强有力的组织保障。</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right="0" w:rightChars="0" w:firstLine="280" w:firstLineChars="100"/>
        <w:jc w:val="left"/>
        <w:textAlignment w:val="auto"/>
        <w:rPr>
          <w:rFonts w:hint="eastAsia" w:ascii="宋体" w:hAnsi="宋体" w:eastAsia="宋体" w:cs="宋体"/>
          <w:i w:val="0"/>
          <w:caps w:val="0"/>
          <w:color w:val="636267"/>
          <w:spacing w:val="0"/>
          <w:sz w:val="28"/>
          <w:szCs w:val="28"/>
          <w:u w:val="none"/>
          <w:shd w:val="clear" w:fill="FFFFFF"/>
          <w:lang w:eastAsia="zh-CN"/>
        </w:rPr>
      </w:pPr>
      <w:r>
        <w:rPr>
          <w:rFonts w:hint="eastAsia" w:ascii="宋体" w:hAnsi="宋体" w:eastAsia="宋体" w:cs="宋体"/>
          <w:i w:val="0"/>
          <w:caps w:val="0"/>
          <w:color w:val="636267"/>
          <w:spacing w:val="0"/>
          <w:sz w:val="28"/>
          <w:szCs w:val="28"/>
          <w:u w:val="none"/>
          <w:shd w:val="clear" w:fill="FFFFFF"/>
          <w:lang w:eastAsia="zh-CN"/>
        </w:rPr>
        <w:t>（三）政府信息管理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right="0" w:rightChars="0" w:firstLine="560" w:firstLineChars="200"/>
        <w:jc w:val="left"/>
        <w:textAlignment w:val="auto"/>
        <w:rPr>
          <w:rFonts w:hint="eastAsia" w:ascii="宋体" w:hAnsi="宋体" w:eastAsia="宋体" w:cs="宋体"/>
          <w:sz w:val="28"/>
          <w:szCs w:val="28"/>
          <w:u w:val="none"/>
        </w:rPr>
      </w:pPr>
      <w:r>
        <w:rPr>
          <w:rFonts w:hint="eastAsia" w:ascii="宋体" w:hAnsi="宋体" w:eastAsia="宋体" w:cs="宋体"/>
          <w:i w:val="0"/>
          <w:caps w:val="0"/>
          <w:color w:val="636267"/>
          <w:spacing w:val="0"/>
          <w:sz w:val="28"/>
          <w:szCs w:val="28"/>
          <w:u w:val="none"/>
          <w:shd w:val="clear" w:fill="FFFFFF"/>
        </w:rPr>
        <w:t>对政府信息分类、编排体系、获取方式、政府信息公开工作机构名称、办公地址、时间、联系电话、传真号码、邮箱、信息索引、名称、内容概述、生成日期等内容进行及时检查调整更新，达到更新及时，内容正确、方便公众的目的。按照要求，及时发布。本年度大力推进财政预决算及部门预算、保障性住房、环境保护、招投标、征地拆迁、价格和收费、教育等方面信息公开情况。并根据单位情况变化，及时做好政府信息公开目录、公开指南的编制、更新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right="0" w:firstLine="280" w:firstLineChars="100"/>
        <w:jc w:val="both"/>
        <w:textAlignment w:val="auto"/>
        <w:rPr>
          <w:rFonts w:hint="eastAsia" w:ascii="宋体" w:hAnsi="宋体" w:eastAsia="宋体" w:cs="宋体"/>
          <w:sz w:val="28"/>
          <w:szCs w:val="28"/>
          <w:u w:val="none"/>
          <w:lang w:eastAsia="zh-CN"/>
        </w:rPr>
      </w:pPr>
      <w:r>
        <w:rPr>
          <w:rFonts w:hint="eastAsia" w:ascii="宋体" w:hAnsi="宋体" w:eastAsia="宋体" w:cs="宋体"/>
          <w:i w:val="0"/>
          <w:caps w:val="0"/>
          <w:color w:val="636267"/>
          <w:spacing w:val="0"/>
          <w:sz w:val="28"/>
          <w:szCs w:val="28"/>
          <w:u w:val="none"/>
          <w:shd w:val="clear" w:fill="FFFFFF"/>
        </w:rPr>
        <w:t>（四）</w:t>
      </w:r>
      <w:r>
        <w:rPr>
          <w:rFonts w:hint="eastAsia" w:ascii="宋体" w:hAnsi="宋体" w:eastAsia="宋体" w:cs="宋体"/>
          <w:i w:val="0"/>
          <w:caps w:val="0"/>
          <w:color w:val="636267"/>
          <w:spacing w:val="0"/>
          <w:sz w:val="28"/>
          <w:szCs w:val="28"/>
          <w:u w:val="none"/>
          <w:shd w:val="clear" w:fill="FFFFFF"/>
          <w:lang w:eastAsia="zh-CN"/>
        </w:rPr>
        <w:t>平台建设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555"/>
        <w:jc w:val="both"/>
        <w:textAlignment w:val="auto"/>
        <w:rPr>
          <w:rFonts w:hint="eastAsia" w:ascii="宋体" w:hAnsi="宋体" w:eastAsia="宋体" w:cs="宋体"/>
          <w:i w:val="0"/>
          <w:caps w:val="0"/>
          <w:color w:val="636267"/>
          <w:spacing w:val="0"/>
          <w:sz w:val="28"/>
          <w:szCs w:val="28"/>
          <w:u w:val="none"/>
          <w:shd w:val="clear" w:fill="FFFFFF"/>
        </w:rPr>
      </w:pPr>
      <w:r>
        <w:rPr>
          <w:rFonts w:hint="eastAsia" w:ascii="宋体" w:hAnsi="宋体" w:eastAsia="宋体" w:cs="宋体"/>
          <w:i w:val="0"/>
          <w:caps w:val="0"/>
          <w:color w:val="636267"/>
          <w:spacing w:val="0"/>
          <w:sz w:val="28"/>
          <w:szCs w:val="28"/>
          <w:u w:val="none"/>
          <w:shd w:val="clear" w:fill="FFFFFF"/>
        </w:rPr>
        <w:t>积极做好政务公开和政府信息查询点建设，积极抓好政府信息公开统一平台建设。为推进政务公开工作及政府信息查询点建设，方便群众办事，提高职能部门办事效率，阁山镇政务服务中心按照办理部门公开、服务项目公开、办理依据公开、申请材料公开、办理流程公开、承诺办结时限公开、收费标准和依据公开、服务电话公开等办理各事项，并将信息公开发布到临桂区政府门户网站的政务服务网站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right="0" w:firstLine="280" w:firstLineChars="100"/>
        <w:jc w:val="both"/>
        <w:textAlignment w:val="auto"/>
        <w:rPr>
          <w:rFonts w:hint="eastAsia" w:ascii="宋体" w:hAnsi="宋体" w:eastAsia="宋体" w:cs="宋体"/>
          <w:sz w:val="28"/>
          <w:szCs w:val="28"/>
          <w:u w:val="none"/>
          <w:lang w:eastAsia="zh-CN"/>
        </w:rPr>
      </w:pPr>
      <w:r>
        <w:rPr>
          <w:rFonts w:hint="eastAsia" w:ascii="宋体" w:hAnsi="宋体" w:eastAsia="宋体" w:cs="宋体"/>
          <w:i w:val="0"/>
          <w:caps w:val="0"/>
          <w:color w:val="636267"/>
          <w:spacing w:val="0"/>
          <w:sz w:val="28"/>
          <w:szCs w:val="28"/>
          <w:u w:val="none"/>
          <w:shd w:val="clear" w:fill="FFFFFF"/>
        </w:rPr>
        <w:t>（</w:t>
      </w:r>
      <w:r>
        <w:rPr>
          <w:rFonts w:hint="eastAsia" w:ascii="宋体" w:hAnsi="宋体" w:eastAsia="宋体" w:cs="宋体"/>
          <w:i w:val="0"/>
          <w:caps w:val="0"/>
          <w:color w:val="636267"/>
          <w:spacing w:val="0"/>
          <w:sz w:val="28"/>
          <w:szCs w:val="28"/>
          <w:u w:val="none"/>
          <w:shd w:val="clear" w:fill="FFFFFF"/>
          <w:lang w:eastAsia="zh-CN"/>
        </w:rPr>
        <w:t>五</w:t>
      </w:r>
      <w:r>
        <w:rPr>
          <w:rFonts w:hint="eastAsia" w:ascii="宋体" w:hAnsi="宋体" w:eastAsia="宋体" w:cs="宋体"/>
          <w:i w:val="0"/>
          <w:caps w:val="0"/>
          <w:color w:val="636267"/>
          <w:spacing w:val="0"/>
          <w:sz w:val="28"/>
          <w:szCs w:val="28"/>
          <w:u w:val="none"/>
          <w:shd w:val="clear" w:fill="FFFFFF"/>
        </w:rPr>
        <w:t>）</w:t>
      </w:r>
      <w:r>
        <w:rPr>
          <w:rFonts w:hint="eastAsia" w:ascii="宋体" w:hAnsi="宋体" w:eastAsia="宋体" w:cs="宋体"/>
          <w:i w:val="0"/>
          <w:caps w:val="0"/>
          <w:color w:val="636267"/>
          <w:spacing w:val="0"/>
          <w:sz w:val="28"/>
          <w:szCs w:val="28"/>
          <w:u w:val="none"/>
          <w:shd w:val="clear" w:fill="FFFFFF"/>
          <w:lang w:eastAsia="zh-CN"/>
        </w:rPr>
        <w:t>监督保障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555"/>
        <w:jc w:val="both"/>
        <w:textAlignment w:val="auto"/>
        <w:rPr>
          <w:rFonts w:hint="eastAsia" w:ascii="宋体" w:hAnsi="宋体" w:eastAsia="宋体" w:cs="宋体"/>
          <w:i w:val="0"/>
          <w:caps w:val="0"/>
          <w:color w:val="636267"/>
          <w:spacing w:val="0"/>
          <w:sz w:val="28"/>
          <w:szCs w:val="28"/>
          <w:u w:val="none"/>
          <w:shd w:val="clear" w:fill="FFFFFF"/>
        </w:rPr>
      </w:pPr>
      <w:r>
        <w:rPr>
          <w:rFonts w:hint="eastAsia" w:ascii="宋体" w:hAnsi="宋体" w:eastAsia="宋体" w:cs="宋体"/>
          <w:i w:val="0"/>
          <w:caps w:val="0"/>
          <w:color w:val="636267"/>
          <w:spacing w:val="0"/>
          <w:sz w:val="28"/>
          <w:szCs w:val="28"/>
          <w:u w:val="none"/>
          <w:shd w:val="clear" w:fill="FFFFFF"/>
        </w:rPr>
        <w:t>注重抓好政务公开工作机制的落实，推进政务公开规范化建设，对政务公开、政府信息公开工作，从信息公开内容、范围和渠道，信息公开工作的考核评议、监督检查、责任追究、公开反馈等方面进行规范。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b w:val="0"/>
          <w:sz w:val="28"/>
          <w:szCs w:val="28"/>
          <w:u w:val="none"/>
        </w:rPr>
      </w:pPr>
      <w:r>
        <w:rPr>
          <w:rFonts w:hint="eastAsia" w:ascii="宋体" w:hAnsi="宋体" w:eastAsia="宋体" w:cs="宋体"/>
          <w:b w:val="0"/>
          <w:i w:val="0"/>
          <w:caps w:val="0"/>
          <w:color w:val="636267"/>
          <w:spacing w:val="0"/>
          <w:sz w:val="28"/>
          <w:szCs w:val="28"/>
          <w:u w:val="none"/>
          <w:shd w:val="clear" w:fill="FFFFFF"/>
        </w:rPr>
        <w:t>二、主动公开政府信息情况</w:t>
      </w:r>
    </w:p>
    <w:tbl>
      <w:tblPr>
        <w:tblStyle w:val="4"/>
        <w:tblW w:w="998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026"/>
        <w:gridCol w:w="2124"/>
        <w:gridCol w:w="1498"/>
        <w:gridCol w:w="3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04" w:hRule="atLeast"/>
          <w:tblCellSpacing w:w="0" w:type="dxa"/>
        </w:trPr>
        <w:tc>
          <w:tcPr>
            <w:tcW w:w="9980" w:type="dxa"/>
            <w:gridSpan w:val="4"/>
            <w:tcBorders>
              <w:top w:val="single" w:color="000000" w:sz="6" w:space="0"/>
              <w:left w:val="single" w:color="000000" w:sz="6" w:space="0"/>
              <w:bottom w:val="single" w:color="000000" w:sz="6" w:space="0"/>
              <w:right w:val="single" w:color="000000" w:sz="6" w:space="0"/>
            </w:tcBorders>
            <w:shd w:val="clear" w:color="auto" w:fill="C6D9F1"/>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6" w:hRule="atLeast"/>
          <w:tblCellSpacing w:w="0" w:type="dxa"/>
        </w:trPr>
        <w:tc>
          <w:tcPr>
            <w:tcW w:w="302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信息内容</w:t>
            </w:r>
          </w:p>
        </w:tc>
        <w:tc>
          <w:tcPr>
            <w:tcW w:w="212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本年新制作数量</w:t>
            </w:r>
          </w:p>
        </w:tc>
        <w:tc>
          <w:tcPr>
            <w:tcW w:w="149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本年新公开数量</w:t>
            </w:r>
          </w:p>
        </w:tc>
        <w:tc>
          <w:tcPr>
            <w:tcW w:w="33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9" w:hRule="atLeast"/>
          <w:tblCellSpacing w:w="0" w:type="dxa"/>
        </w:trPr>
        <w:tc>
          <w:tcPr>
            <w:tcW w:w="302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规章</w:t>
            </w:r>
          </w:p>
        </w:tc>
        <w:tc>
          <w:tcPr>
            <w:tcW w:w="212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149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33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9" w:hRule="atLeast"/>
          <w:tblCellSpacing w:w="0" w:type="dxa"/>
        </w:trPr>
        <w:tc>
          <w:tcPr>
            <w:tcW w:w="302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规范性文件</w:t>
            </w:r>
          </w:p>
        </w:tc>
        <w:tc>
          <w:tcPr>
            <w:tcW w:w="212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18</w:t>
            </w:r>
          </w:p>
        </w:tc>
        <w:tc>
          <w:tcPr>
            <w:tcW w:w="149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18</w:t>
            </w:r>
          </w:p>
        </w:tc>
        <w:tc>
          <w:tcPr>
            <w:tcW w:w="33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default"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9" w:hRule="atLeast"/>
          <w:tblCellSpacing w:w="0" w:type="dxa"/>
        </w:trPr>
        <w:tc>
          <w:tcPr>
            <w:tcW w:w="9980" w:type="dxa"/>
            <w:gridSpan w:val="4"/>
            <w:tcBorders>
              <w:top w:val="nil"/>
              <w:left w:val="single" w:color="000000" w:sz="6" w:space="0"/>
              <w:bottom w:val="single" w:color="000000" w:sz="6" w:space="0"/>
              <w:right w:val="single" w:color="000000" w:sz="6" w:space="0"/>
            </w:tcBorders>
            <w:shd w:val="clear" w:color="auto" w:fill="C6D9F1"/>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9" w:hRule="atLeast"/>
          <w:tblCellSpacing w:w="0" w:type="dxa"/>
        </w:trPr>
        <w:tc>
          <w:tcPr>
            <w:tcW w:w="302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信息内容</w:t>
            </w:r>
          </w:p>
        </w:tc>
        <w:tc>
          <w:tcPr>
            <w:tcW w:w="212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上一年项目数量</w:t>
            </w:r>
          </w:p>
        </w:tc>
        <w:tc>
          <w:tcPr>
            <w:tcW w:w="149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本年增/减</w:t>
            </w:r>
          </w:p>
        </w:tc>
        <w:tc>
          <w:tcPr>
            <w:tcW w:w="33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9" w:hRule="atLeast"/>
          <w:tblCellSpacing w:w="0" w:type="dxa"/>
        </w:trPr>
        <w:tc>
          <w:tcPr>
            <w:tcW w:w="302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行政许可</w:t>
            </w:r>
          </w:p>
        </w:tc>
        <w:tc>
          <w:tcPr>
            <w:tcW w:w="212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149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33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firstLine="1400" w:firstLineChars="500"/>
              <w:jc w:val="both"/>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9" w:hRule="atLeast"/>
          <w:tblCellSpacing w:w="0" w:type="dxa"/>
        </w:trPr>
        <w:tc>
          <w:tcPr>
            <w:tcW w:w="302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其他对外管理服务事项</w:t>
            </w:r>
          </w:p>
        </w:tc>
        <w:tc>
          <w:tcPr>
            <w:tcW w:w="212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149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33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9" w:hRule="atLeast"/>
          <w:tblCellSpacing w:w="0" w:type="dxa"/>
        </w:trPr>
        <w:tc>
          <w:tcPr>
            <w:tcW w:w="9980" w:type="dxa"/>
            <w:gridSpan w:val="4"/>
            <w:tcBorders>
              <w:top w:val="nil"/>
              <w:left w:val="single" w:color="000000" w:sz="6" w:space="0"/>
              <w:bottom w:val="single" w:color="000000" w:sz="6" w:space="0"/>
              <w:right w:val="single" w:color="000000" w:sz="6" w:space="0"/>
            </w:tcBorders>
            <w:shd w:val="clear" w:color="auto" w:fill="C6D9F1"/>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9" w:hRule="atLeast"/>
          <w:tblCellSpacing w:w="0" w:type="dxa"/>
        </w:trPr>
        <w:tc>
          <w:tcPr>
            <w:tcW w:w="302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信息内容</w:t>
            </w:r>
          </w:p>
        </w:tc>
        <w:tc>
          <w:tcPr>
            <w:tcW w:w="212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上一年项目数量</w:t>
            </w:r>
          </w:p>
        </w:tc>
        <w:tc>
          <w:tcPr>
            <w:tcW w:w="149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本年增/减</w:t>
            </w:r>
          </w:p>
        </w:tc>
        <w:tc>
          <w:tcPr>
            <w:tcW w:w="33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9" w:hRule="atLeast"/>
          <w:tblCellSpacing w:w="0" w:type="dxa"/>
        </w:trPr>
        <w:tc>
          <w:tcPr>
            <w:tcW w:w="302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行政处罚</w:t>
            </w:r>
          </w:p>
        </w:tc>
        <w:tc>
          <w:tcPr>
            <w:tcW w:w="212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149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33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9" w:hRule="atLeast"/>
          <w:tblCellSpacing w:w="0" w:type="dxa"/>
        </w:trPr>
        <w:tc>
          <w:tcPr>
            <w:tcW w:w="302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行政强制</w:t>
            </w:r>
          </w:p>
        </w:tc>
        <w:tc>
          <w:tcPr>
            <w:tcW w:w="212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149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333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9" w:hRule="atLeast"/>
          <w:tblCellSpacing w:w="0" w:type="dxa"/>
        </w:trPr>
        <w:tc>
          <w:tcPr>
            <w:tcW w:w="9980" w:type="dxa"/>
            <w:gridSpan w:val="4"/>
            <w:tcBorders>
              <w:top w:val="nil"/>
              <w:left w:val="single" w:color="000000" w:sz="6" w:space="0"/>
              <w:bottom w:val="single" w:color="000000" w:sz="6" w:space="0"/>
              <w:right w:val="single" w:color="000000" w:sz="6" w:space="0"/>
            </w:tcBorders>
            <w:shd w:val="clear" w:color="auto" w:fill="C6D9F1"/>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9" w:hRule="atLeast"/>
          <w:tblCellSpacing w:w="0" w:type="dxa"/>
        </w:trPr>
        <w:tc>
          <w:tcPr>
            <w:tcW w:w="302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信息内容</w:t>
            </w:r>
          </w:p>
        </w:tc>
        <w:tc>
          <w:tcPr>
            <w:tcW w:w="212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上一年项目数量</w:t>
            </w:r>
          </w:p>
        </w:tc>
        <w:tc>
          <w:tcPr>
            <w:tcW w:w="4830"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9" w:hRule="atLeast"/>
          <w:tblCellSpacing w:w="0" w:type="dxa"/>
        </w:trPr>
        <w:tc>
          <w:tcPr>
            <w:tcW w:w="302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行政事业性收费</w:t>
            </w:r>
          </w:p>
        </w:tc>
        <w:tc>
          <w:tcPr>
            <w:tcW w:w="212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4830"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9" w:hRule="atLeast"/>
          <w:tblCellSpacing w:w="0" w:type="dxa"/>
        </w:trPr>
        <w:tc>
          <w:tcPr>
            <w:tcW w:w="9980" w:type="dxa"/>
            <w:gridSpan w:val="4"/>
            <w:tcBorders>
              <w:top w:val="nil"/>
              <w:left w:val="single" w:color="000000" w:sz="6" w:space="0"/>
              <w:bottom w:val="single" w:color="000000" w:sz="6" w:space="0"/>
              <w:right w:val="single" w:color="000000" w:sz="6" w:space="0"/>
            </w:tcBorders>
            <w:shd w:val="clear" w:color="auto" w:fill="C6D9F1"/>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9" w:hRule="atLeast"/>
          <w:tblCellSpacing w:w="0" w:type="dxa"/>
        </w:trPr>
        <w:tc>
          <w:tcPr>
            <w:tcW w:w="302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信息内容</w:t>
            </w:r>
          </w:p>
        </w:tc>
        <w:tc>
          <w:tcPr>
            <w:tcW w:w="212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采购项目数量</w:t>
            </w:r>
          </w:p>
        </w:tc>
        <w:tc>
          <w:tcPr>
            <w:tcW w:w="4830"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9" w:hRule="atLeast"/>
          <w:tblCellSpacing w:w="0" w:type="dxa"/>
        </w:trPr>
        <w:tc>
          <w:tcPr>
            <w:tcW w:w="302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政府集中采购</w:t>
            </w:r>
          </w:p>
        </w:tc>
        <w:tc>
          <w:tcPr>
            <w:tcW w:w="212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4</w:t>
            </w:r>
          </w:p>
        </w:tc>
        <w:tc>
          <w:tcPr>
            <w:tcW w:w="4830"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169100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b w:val="0"/>
          <w:sz w:val="28"/>
          <w:szCs w:val="28"/>
          <w:u w:val="none"/>
        </w:rPr>
      </w:pPr>
      <w:r>
        <w:rPr>
          <w:rFonts w:hint="eastAsia" w:ascii="宋体" w:hAnsi="宋体" w:eastAsia="宋体" w:cs="宋体"/>
          <w:b w:val="0"/>
          <w:i w:val="0"/>
          <w:caps w:val="0"/>
          <w:color w:val="636267"/>
          <w:spacing w:val="0"/>
          <w:sz w:val="28"/>
          <w:szCs w:val="28"/>
          <w:u w:val="none"/>
          <w:shd w:val="clear" w:fill="FFFFFF"/>
        </w:rPr>
        <w:t>三、收到和处理政府信息公开申请情况</w:t>
      </w:r>
    </w:p>
    <w:tbl>
      <w:tblPr>
        <w:tblStyle w:val="4"/>
        <w:tblW w:w="969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00"/>
        <w:gridCol w:w="1065"/>
        <w:gridCol w:w="2269"/>
        <w:gridCol w:w="785"/>
        <w:gridCol w:w="785"/>
        <w:gridCol w:w="785"/>
        <w:gridCol w:w="785"/>
        <w:gridCol w:w="785"/>
        <w:gridCol w:w="505"/>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4134" w:type="dxa"/>
            <w:gridSpan w:val="3"/>
            <w:vMerge w:val="restar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（本列数据的勾稽关系为：第一项加第二项之和，等于第三项加第四项之和）</w:t>
            </w:r>
          </w:p>
        </w:tc>
        <w:tc>
          <w:tcPr>
            <w:tcW w:w="5556" w:type="dxa"/>
            <w:gridSpan w:val="7"/>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35"/>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34"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785"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自然人</w:t>
            </w:r>
          </w:p>
        </w:tc>
        <w:tc>
          <w:tcPr>
            <w:tcW w:w="3645" w:type="dxa"/>
            <w:gridSpan w:val="5"/>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35"/>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法人或其他组织</w:t>
            </w:r>
          </w:p>
        </w:tc>
        <w:tc>
          <w:tcPr>
            <w:tcW w:w="1126"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5" w:hRule="atLeast"/>
          <w:tblCellSpacing w:w="0" w:type="dxa"/>
        </w:trPr>
        <w:tc>
          <w:tcPr>
            <w:tcW w:w="4134"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78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商业企业</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科研机构</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社会公益组织</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法律服务机构</w:t>
            </w:r>
          </w:p>
        </w:tc>
        <w:tc>
          <w:tcPr>
            <w:tcW w:w="5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其他</w:t>
            </w:r>
          </w:p>
        </w:tc>
        <w:tc>
          <w:tcPr>
            <w:tcW w:w="1126"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blCellSpacing w:w="0" w:type="dxa"/>
        </w:trPr>
        <w:tc>
          <w:tcPr>
            <w:tcW w:w="4134" w:type="dxa"/>
            <w:gridSpan w:val="3"/>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一、本年新收政府信息公开申请数量</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lang w:val="en-US" w:eastAsia="zh-CN"/>
              </w:rPr>
              <w:t>1</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50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w:t>
            </w:r>
          </w:p>
        </w:tc>
        <w:tc>
          <w:tcPr>
            <w:tcW w:w="1126"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4134" w:type="dxa"/>
            <w:gridSpan w:val="3"/>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二、上年结转政府信息公开申请数量</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50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w:t>
            </w:r>
          </w:p>
        </w:tc>
        <w:tc>
          <w:tcPr>
            <w:tcW w:w="1126"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00"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三、本年度办理结果</w:t>
            </w:r>
          </w:p>
        </w:tc>
        <w:tc>
          <w:tcPr>
            <w:tcW w:w="3334"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（一）予以公开</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rPr>
              <w:t> </w:t>
            </w:r>
            <w:r>
              <w:rPr>
                <w:rFonts w:hint="eastAsia" w:ascii="宋体" w:hAnsi="宋体" w:eastAsia="宋体" w:cs="宋体"/>
                <w:sz w:val="28"/>
                <w:szCs w:val="28"/>
                <w:u w:val="none"/>
                <w:lang w:val="en-US" w:eastAsia="zh-CN"/>
              </w:rPr>
              <w:t>1</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5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w:t>
            </w:r>
          </w:p>
        </w:tc>
        <w:tc>
          <w:tcPr>
            <w:tcW w:w="112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120"/>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0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3334"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（二）部分公开（区分处理的，只计这一情形，不计其他情形）</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50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w:t>
            </w:r>
          </w:p>
        </w:tc>
        <w:tc>
          <w:tcPr>
            <w:tcW w:w="1126"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0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1065"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（三）不予公开</w:t>
            </w:r>
          </w:p>
        </w:tc>
        <w:tc>
          <w:tcPr>
            <w:tcW w:w="226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1.属于国家秘密</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50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w:t>
            </w:r>
          </w:p>
        </w:tc>
        <w:tc>
          <w:tcPr>
            <w:tcW w:w="1126"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0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106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226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2.其他法律行政法规禁止公开</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50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w:t>
            </w:r>
          </w:p>
        </w:tc>
        <w:tc>
          <w:tcPr>
            <w:tcW w:w="1126"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0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106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226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3.危及“三安全一稳定”</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50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w:t>
            </w:r>
          </w:p>
        </w:tc>
        <w:tc>
          <w:tcPr>
            <w:tcW w:w="1126"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0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106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226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4.保护第三方合法权益</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50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w:t>
            </w:r>
          </w:p>
        </w:tc>
        <w:tc>
          <w:tcPr>
            <w:tcW w:w="1126"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0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106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226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5.属于三类内部事务信息</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50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w:t>
            </w:r>
          </w:p>
        </w:tc>
        <w:tc>
          <w:tcPr>
            <w:tcW w:w="1126"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0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106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226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6.属于四类过程性信息</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50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w:t>
            </w:r>
          </w:p>
        </w:tc>
        <w:tc>
          <w:tcPr>
            <w:tcW w:w="1126"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0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106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226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7.属于行政执法案卷</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50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w:t>
            </w:r>
          </w:p>
        </w:tc>
        <w:tc>
          <w:tcPr>
            <w:tcW w:w="1126"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0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106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226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8.属于行政查询事项</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50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w:t>
            </w:r>
          </w:p>
        </w:tc>
        <w:tc>
          <w:tcPr>
            <w:tcW w:w="1126"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0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1065"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（四）无法提供</w:t>
            </w:r>
          </w:p>
        </w:tc>
        <w:tc>
          <w:tcPr>
            <w:tcW w:w="226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1.本机关不掌握相关政府信息</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5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w:t>
            </w:r>
          </w:p>
        </w:tc>
        <w:tc>
          <w:tcPr>
            <w:tcW w:w="112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0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106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226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2.没有现成信息需要另行制作</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50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w:t>
            </w:r>
          </w:p>
        </w:tc>
        <w:tc>
          <w:tcPr>
            <w:tcW w:w="1126"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0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106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226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3.补正后申请内容仍不明确</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240"/>
              <w:textAlignment w:val="auto"/>
              <w:rPr>
                <w:rFonts w:hint="eastAsia" w:ascii="宋体" w:hAnsi="宋体" w:eastAsia="宋体" w:cs="宋体"/>
                <w:sz w:val="28"/>
                <w:szCs w:val="28"/>
                <w:u w:val="none"/>
              </w:rPr>
            </w:pPr>
            <w:r>
              <w:rPr>
                <w:rFonts w:hint="eastAsia" w:ascii="宋体" w:hAnsi="宋体" w:eastAsia="宋体" w:cs="宋体"/>
                <w:sz w:val="28"/>
                <w:szCs w:val="28"/>
                <w:u w:val="none"/>
              </w:rPr>
              <w:t>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5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w:t>
            </w:r>
          </w:p>
        </w:tc>
        <w:tc>
          <w:tcPr>
            <w:tcW w:w="112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0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1065"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（五）不予处理</w:t>
            </w:r>
          </w:p>
        </w:tc>
        <w:tc>
          <w:tcPr>
            <w:tcW w:w="226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1.信访举报投诉类申请</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5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w:t>
            </w:r>
          </w:p>
        </w:tc>
        <w:tc>
          <w:tcPr>
            <w:tcW w:w="112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0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106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226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2.重复申请</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5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w:t>
            </w:r>
          </w:p>
        </w:tc>
        <w:tc>
          <w:tcPr>
            <w:tcW w:w="112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0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106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226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3.要求提供公开出版物</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5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w:t>
            </w:r>
          </w:p>
        </w:tc>
        <w:tc>
          <w:tcPr>
            <w:tcW w:w="112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0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106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226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4.无正当理由大量反复申请</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5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w:t>
            </w:r>
          </w:p>
        </w:tc>
        <w:tc>
          <w:tcPr>
            <w:tcW w:w="112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0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106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226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5.要求行政机关确认或重新出具已获取信息</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5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w:t>
            </w:r>
          </w:p>
        </w:tc>
        <w:tc>
          <w:tcPr>
            <w:tcW w:w="112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0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3334"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（六）其他处理</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5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w:t>
            </w:r>
          </w:p>
        </w:tc>
        <w:tc>
          <w:tcPr>
            <w:tcW w:w="112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0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3334"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（七）总计</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rPr>
              <w:t> </w:t>
            </w:r>
            <w:r>
              <w:rPr>
                <w:rFonts w:hint="eastAsia" w:ascii="宋体" w:hAnsi="宋体" w:eastAsia="宋体" w:cs="宋体"/>
                <w:sz w:val="28"/>
                <w:szCs w:val="28"/>
                <w:u w:val="none"/>
                <w:lang w:val="en-US" w:eastAsia="zh-CN"/>
              </w:rPr>
              <w:t>1</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5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w:t>
            </w:r>
          </w:p>
        </w:tc>
        <w:tc>
          <w:tcPr>
            <w:tcW w:w="112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rPr>
              <w:t xml:space="preserve">  </w:t>
            </w:r>
            <w:r>
              <w:rPr>
                <w:rFonts w:hint="eastAsia" w:ascii="宋体" w:hAnsi="宋体" w:eastAsia="宋体" w:cs="宋体"/>
                <w:sz w:val="28"/>
                <w:szCs w:val="28"/>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blCellSpacing w:w="0" w:type="dxa"/>
        </w:trPr>
        <w:tc>
          <w:tcPr>
            <w:tcW w:w="4134" w:type="dxa"/>
            <w:gridSpan w:val="3"/>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四、结转下年度继续办理</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7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c>
          <w:tcPr>
            <w:tcW w:w="5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w:t>
            </w:r>
          </w:p>
        </w:tc>
        <w:tc>
          <w:tcPr>
            <w:tcW w:w="112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  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40" w:afterAutospacing="0" w:line="500" w:lineRule="exact"/>
        <w:ind w:left="0" w:right="0" w:firstLine="0"/>
        <w:jc w:val="both"/>
        <w:textAlignment w:val="auto"/>
        <w:rPr>
          <w:rFonts w:hint="eastAsia" w:ascii="宋体" w:hAnsi="宋体" w:eastAsia="宋体" w:cs="宋体"/>
          <w:b w:val="0"/>
          <w:i w:val="0"/>
          <w:caps w:val="0"/>
          <w:color w:val="636267"/>
          <w:spacing w:val="0"/>
          <w:sz w:val="28"/>
          <w:szCs w:val="28"/>
          <w:u w:val="none"/>
          <w:shd w:val="clear" w:fill="FFFFFF"/>
        </w:rPr>
      </w:pP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40" w:afterAutospacing="0" w:line="500" w:lineRule="exact"/>
        <w:ind w:left="0" w:right="0" w:firstLine="0"/>
        <w:jc w:val="both"/>
        <w:textAlignment w:val="auto"/>
        <w:rPr>
          <w:rFonts w:hint="eastAsia" w:ascii="宋体" w:hAnsi="宋体" w:eastAsia="宋体" w:cs="宋体"/>
          <w:b w:val="0"/>
          <w:i w:val="0"/>
          <w:caps w:val="0"/>
          <w:color w:val="636267"/>
          <w:spacing w:val="0"/>
          <w:sz w:val="28"/>
          <w:szCs w:val="28"/>
          <w:u w:val="none"/>
          <w:shd w:val="clear" w:fill="FFFFFF"/>
        </w:rPr>
      </w:pPr>
      <w:r>
        <w:rPr>
          <w:rFonts w:hint="eastAsia" w:ascii="宋体" w:hAnsi="宋体" w:eastAsia="宋体" w:cs="宋体"/>
          <w:b w:val="0"/>
          <w:i w:val="0"/>
          <w:caps w:val="0"/>
          <w:color w:val="636267"/>
          <w:spacing w:val="0"/>
          <w:sz w:val="28"/>
          <w:szCs w:val="28"/>
          <w:u w:val="none"/>
          <w:shd w:val="clear" w:fill="FFFFFF"/>
        </w:rPr>
        <w:t>政府信息公开行政复议、行政诉讼情况</w:t>
      </w:r>
    </w:p>
    <w:tbl>
      <w:tblPr>
        <w:tblStyle w:val="4"/>
        <w:tblpPr w:leftFromText="180" w:rightFromText="180" w:vertAnchor="page" w:horzAnchor="page" w:tblpX="2273" w:tblpY="2418"/>
        <w:tblOverlap w:val="never"/>
        <w:tblW w:w="75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76"/>
        <w:gridCol w:w="522"/>
        <w:gridCol w:w="522"/>
        <w:gridCol w:w="491"/>
        <w:gridCol w:w="537"/>
        <w:gridCol w:w="476"/>
        <w:gridCol w:w="460"/>
        <w:gridCol w:w="507"/>
        <w:gridCol w:w="430"/>
        <w:gridCol w:w="506"/>
        <w:gridCol w:w="475"/>
        <w:gridCol w:w="492"/>
        <w:gridCol w:w="537"/>
        <w:gridCol w:w="491"/>
        <w:gridCol w:w="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35" w:hRule="atLeast"/>
          <w:tblCellSpacing w:w="0" w:type="dxa"/>
        </w:trPr>
        <w:tc>
          <w:tcPr>
            <w:tcW w:w="2648" w:type="dxa"/>
            <w:gridSpan w:val="5"/>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行政复议</w:t>
            </w:r>
          </w:p>
        </w:tc>
        <w:tc>
          <w:tcPr>
            <w:tcW w:w="4912" w:type="dxa"/>
            <w:gridSpan w:val="10"/>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5" w:hRule="atLeast"/>
          <w:tblCellSpacing w:w="0" w:type="dxa"/>
        </w:trPr>
        <w:tc>
          <w:tcPr>
            <w:tcW w:w="576"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结果维持</w:t>
            </w:r>
          </w:p>
        </w:tc>
        <w:tc>
          <w:tcPr>
            <w:tcW w:w="522"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结果纠正</w:t>
            </w:r>
          </w:p>
        </w:tc>
        <w:tc>
          <w:tcPr>
            <w:tcW w:w="522"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其他结果</w:t>
            </w:r>
          </w:p>
        </w:tc>
        <w:tc>
          <w:tcPr>
            <w:tcW w:w="491"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尚未审结</w:t>
            </w:r>
          </w:p>
        </w:tc>
        <w:tc>
          <w:tcPr>
            <w:tcW w:w="537"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总计</w:t>
            </w:r>
          </w:p>
        </w:tc>
        <w:tc>
          <w:tcPr>
            <w:tcW w:w="2379" w:type="dxa"/>
            <w:gridSpan w:val="5"/>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未经复议直接起诉</w:t>
            </w:r>
          </w:p>
        </w:tc>
        <w:tc>
          <w:tcPr>
            <w:tcW w:w="2533" w:type="dxa"/>
            <w:gridSpan w:val="5"/>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jc w:val="center"/>
              <w:textAlignment w:val="auto"/>
              <w:rPr>
                <w:rFonts w:hint="eastAsia" w:ascii="宋体" w:hAnsi="宋体" w:eastAsia="宋体" w:cs="宋体"/>
                <w:sz w:val="28"/>
                <w:szCs w:val="28"/>
                <w:u w:val="none"/>
              </w:rPr>
            </w:pPr>
            <w:r>
              <w:rPr>
                <w:rFonts w:hint="eastAsia" w:ascii="宋体" w:hAnsi="宋体" w:eastAsia="宋体" w:cs="宋体"/>
                <w:sz w:val="28"/>
                <w:szCs w:val="28"/>
                <w:u w:val="none"/>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13" w:hRule="atLeast"/>
          <w:tblCellSpacing w:w="0" w:type="dxa"/>
        </w:trPr>
        <w:tc>
          <w:tcPr>
            <w:tcW w:w="576"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522"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522"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491"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537"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8"/>
                <w:szCs w:val="28"/>
                <w:u w:val="none"/>
              </w:rPr>
            </w:pPr>
          </w:p>
        </w:tc>
        <w:tc>
          <w:tcPr>
            <w:tcW w:w="47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结果维持</w:t>
            </w:r>
          </w:p>
        </w:tc>
        <w:tc>
          <w:tcPr>
            <w:tcW w:w="4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结果纠正</w:t>
            </w:r>
          </w:p>
        </w:tc>
        <w:tc>
          <w:tcPr>
            <w:tcW w:w="50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其他结果</w:t>
            </w:r>
          </w:p>
        </w:tc>
        <w:tc>
          <w:tcPr>
            <w:tcW w:w="4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尚未审结</w:t>
            </w:r>
          </w:p>
        </w:tc>
        <w:tc>
          <w:tcPr>
            <w:tcW w:w="50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总计</w:t>
            </w:r>
          </w:p>
        </w:tc>
        <w:tc>
          <w:tcPr>
            <w:tcW w:w="4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结果维持</w:t>
            </w:r>
          </w:p>
        </w:tc>
        <w:tc>
          <w:tcPr>
            <w:tcW w:w="49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结果纠正</w:t>
            </w:r>
          </w:p>
        </w:tc>
        <w:tc>
          <w:tcPr>
            <w:tcW w:w="53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其他结果</w:t>
            </w:r>
          </w:p>
        </w:tc>
        <w:tc>
          <w:tcPr>
            <w:tcW w:w="49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尚未审结</w:t>
            </w:r>
          </w:p>
        </w:tc>
        <w:tc>
          <w:tcPr>
            <w:tcW w:w="53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left="0" w:right="0"/>
              <w:textAlignment w:val="auto"/>
              <w:rPr>
                <w:rFonts w:hint="eastAsia" w:ascii="宋体" w:hAnsi="宋体" w:eastAsia="宋体" w:cs="宋体"/>
                <w:sz w:val="28"/>
                <w:szCs w:val="28"/>
                <w:u w:val="none"/>
              </w:rPr>
            </w:pPr>
            <w:r>
              <w:rPr>
                <w:rFonts w:hint="eastAsia" w:ascii="宋体" w:hAnsi="宋体" w:eastAsia="宋体" w:cs="宋体"/>
                <w:sz w:val="28"/>
                <w:szCs w:val="28"/>
                <w:u w:val="none"/>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94" w:hRule="atLeast"/>
          <w:tblCellSpacing w:w="0" w:type="dxa"/>
        </w:trPr>
        <w:tc>
          <w:tcPr>
            <w:tcW w:w="57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right="0"/>
              <w:jc w:val="both"/>
              <w:textAlignment w:val="auto"/>
              <w:rPr>
                <w:rFonts w:hint="default"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0</w:t>
            </w:r>
          </w:p>
        </w:tc>
        <w:tc>
          <w:tcPr>
            <w:tcW w:w="52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right="0"/>
              <w:jc w:val="both"/>
              <w:textAlignment w:val="auto"/>
              <w:rPr>
                <w:rFonts w:hint="eastAsia" w:ascii="宋体" w:hAnsi="宋体" w:eastAsia="宋体" w:cs="宋体"/>
                <w:sz w:val="28"/>
                <w:szCs w:val="28"/>
                <w:u w:val="none"/>
              </w:rPr>
            </w:pPr>
            <w:r>
              <w:rPr>
                <w:rFonts w:hint="eastAsia" w:ascii="宋体" w:hAnsi="宋体" w:eastAsia="宋体" w:cs="宋体"/>
                <w:sz w:val="28"/>
                <w:szCs w:val="28"/>
                <w:u w:val="none"/>
                <w:lang w:val="en-US" w:eastAsia="zh-CN"/>
              </w:rPr>
              <w:t>0</w:t>
            </w:r>
          </w:p>
        </w:tc>
        <w:tc>
          <w:tcPr>
            <w:tcW w:w="52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right="0"/>
              <w:jc w:val="both"/>
              <w:textAlignment w:val="auto"/>
              <w:rPr>
                <w:rFonts w:hint="eastAsia"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0</w:t>
            </w:r>
          </w:p>
        </w:tc>
        <w:tc>
          <w:tcPr>
            <w:tcW w:w="49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right="0"/>
              <w:jc w:val="both"/>
              <w:textAlignment w:val="auto"/>
              <w:rPr>
                <w:rFonts w:hint="eastAsia" w:ascii="宋体" w:hAnsi="宋体" w:eastAsia="宋体" w:cs="宋体"/>
                <w:sz w:val="28"/>
                <w:szCs w:val="28"/>
                <w:u w:val="none"/>
              </w:rPr>
            </w:pPr>
            <w:r>
              <w:rPr>
                <w:rFonts w:hint="eastAsia" w:ascii="宋体" w:hAnsi="宋体" w:eastAsia="宋体" w:cs="宋体"/>
                <w:sz w:val="28"/>
                <w:szCs w:val="28"/>
                <w:u w:val="none"/>
                <w:lang w:val="en-US" w:eastAsia="zh-CN"/>
              </w:rPr>
              <w:t>0</w:t>
            </w:r>
          </w:p>
        </w:tc>
        <w:tc>
          <w:tcPr>
            <w:tcW w:w="53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right="0"/>
              <w:jc w:val="both"/>
              <w:textAlignment w:val="auto"/>
              <w:rPr>
                <w:rFonts w:hint="eastAsia" w:ascii="宋体" w:hAnsi="宋体" w:eastAsia="宋体" w:cs="宋体"/>
                <w:sz w:val="28"/>
                <w:szCs w:val="28"/>
                <w:u w:val="none"/>
              </w:rPr>
            </w:pPr>
            <w:r>
              <w:rPr>
                <w:rFonts w:hint="eastAsia" w:ascii="宋体" w:hAnsi="宋体" w:eastAsia="宋体" w:cs="宋体"/>
                <w:sz w:val="28"/>
                <w:szCs w:val="28"/>
                <w:u w:val="none"/>
                <w:lang w:val="en-US" w:eastAsia="zh-CN"/>
              </w:rPr>
              <w:t>0</w:t>
            </w:r>
          </w:p>
        </w:tc>
        <w:tc>
          <w:tcPr>
            <w:tcW w:w="47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right="0"/>
              <w:jc w:val="both"/>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lang w:val="en-US" w:eastAsia="zh-CN"/>
              </w:rPr>
              <w:t>0</w:t>
            </w:r>
          </w:p>
        </w:tc>
        <w:tc>
          <w:tcPr>
            <w:tcW w:w="4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right="0"/>
              <w:jc w:val="both"/>
              <w:textAlignment w:val="auto"/>
              <w:rPr>
                <w:rFonts w:hint="eastAsia" w:ascii="宋体" w:hAnsi="宋体" w:eastAsia="宋体" w:cs="宋体"/>
                <w:sz w:val="28"/>
                <w:szCs w:val="28"/>
                <w:u w:val="none"/>
              </w:rPr>
            </w:pPr>
            <w:r>
              <w:rPr>
                <w:rFonts w:hint="eastAsia" w:ascii="宋体" w:hAnsi="宋体" w:eastAsia="宋体" w:cs="宋体"/>
                <w:sz w:val="28"/>
                <w:szCs w:val="28"/>
                <w:u w:val="none"/>
                <w:lang w:val="en-US" w:eastAsia="zh-CN"/>
              </w:rPr>
              <w:t>0</w:t>
            </w:r>
          </w:p>
        </w:tc>
        <w:tc>
          <w:tcPr>
            <w:tcW w:w="50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right="0"/>
              <w:jc w:val="both"/>
              <w:textAlignment w:val="auto"/>
              <w:rPr>
                <w:rFonts w:hint="eastAsia" w:ascii="宋体" w:hAnsi="宋体" w:eastAsia="宋体" w:cs="宋体"/>
                <w:sz w:val="28"/>
                <w:szCs w:val="28"/>
                <w:u w:val="none"/>
              </w:rPr>
            </w:pPr>
            <w:r>
              <w:rPr>
                <w:rFonts w:hint="eastAsia" w:ascii="宋体" w:hAnsi="宋体" w:eastAsia="宋体" w:cs="宋体"/>
                <w:sz w:val="28"/>
                <w:szCs w:val="28"/>
                <w:u w:val="none"/>
                <w:lang w:val="en-US" w:eastAsia="zh-CN"/>
              </w:rPr>
              <w:t>0</w:t>
            </w:r>
          </w:p>
        </w:tc>
        <w:tc>
          <w:tcPr>
            <w:tcW w:w="4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right="0"/>
              <w:jc w:val="both"/>
              <w:textAlignment w:val="auto"/>
              <w:rPr>
                <w:rFonts w:hint="eastAsia"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0</w:t>
            </w:r>
          </w:p>
        </w:tc>
        <w:tc>
          <w:tcPr>
            <w:tcW w:w="50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right="0"/>
              <w:jc w:val="both"/>
              <w:textAlignment w:val="auto"/>
              <w:rPr>
                <w:rFonts w:hint="eastAsia"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0</w:t>
            </w:r>
          </w:p>
        </w:tc>
        <w:tc>
          <w:tcPr>
            <w:tcW w:w="47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right="0"/>
              <w:jc w:val="both"/>
              <w:textAlignment w:val="auto"/>
              <w:rPr>
                <w:rFonts w:hint="eastAsia" w:ascii="宋体" w:hAnsi="宋体" w:eastAsia="宋体" w:cs="宋体"/>
                <w:sz w:val="28"/>
                <w:szCs w:val="28"/>
                <w:u w:val="none"/>
              </w:rPr>
            </w:pPr>
            <w:r>
              <w:rPr>
                <w:rFonts w:hint="eastAsia" w:ascii="宋体" w:hAnsi="宋体" w:eastAsia="宋体" w:cs="宋体"/>
                <w:sz w:val="28"/>
                <w:szCs w:val="28"/>
                <w:u w:val="none"/>
                <w:lang w:val="en-US" w:eastAsia="zh-CN"/>
              </w:rPr>
              <w:t>0</w:t>
            </w:r>
          </w:p>
        </w:tc>
        <w:tc>
          <w:tcPr>
            <w:tcW w:w="49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right="0"/>
              <w:jc w:val="both"/>
              <w:textAlignment w:val="auto"/>
              <w:rPr>
                <w:rFonts w:hint="eastAsia" w:ascii="宋体" w:hAnsi="宋体" w:eastAsia="宋体" w:cs="宋体"/>
                <w:sz w:val="28"/>
                <w:szCs w:val="28"/>
                <w:u w:val="none"/>
              </w:rPr>
            </w:pPr>
            <w:r>
              <w:rPr>
                <w:rFonts w:hint="eastAsia" w:ascii="宋体" w:hAnsi="宋体" w:eastAsia="宋体" w:cs="宋体"/>
                <w:sz w:val="28"/>
                <w:szCs w:val="28"/>
                <w:u w:val="none"/>
                <w:lang w:val="en-US" w:eastAsia="zh-CN"/>
              </w:rPr>
              <w:t>0</w:t>
            </w:r>
          </w:p>
        </w:tc>
        <w:tc>
          <w:tcPr>
            <w:tcW w:w="53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right="0"/>
              <w:jc w:val="both"/>
              <w:textAlignment w:val="auto"/>
              <w:rPr>
                <w:rFonts w:hint="eastAsia" w:ascii="宋体" w:hAnsi="宋体" w:eastAsia="宋体" w:cs="宋体"/>
                <w:sz w:val="28"/>
                <w:szCs w:val="28"/>
                <w:u w:val="none"/>
              </w:rPr>
            </w:pPr>
            <w:r>
              <w:rPr>
                <w:rFonts w:hint="eastAsia" w:ascii="宋体" w:hAnsi="宋体" w:eastAsia="宋体" w:cs="宋体"/>
                <w:sz w:val="28"/>
                <w:szCs w:val="28"/>
                <w:u w:val="none"/>
                <w:lang w:val="en-US" w:eastAsia="zh-CN"/>
              </w:rPr>
              <w:t>0</w:t>
            </w:r>
          </w:p>
        </w:tc>
        <w:tc>
          <w:tcPr>
            <w:tcW w:w="49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180" w:afterAutospacing="0" w:line="500" w:lineRule="exact"/>
              <w:ind w:right="0"/>
              <w:jc w:val="both"/>
              <w:textAlignment w:val="auto"/>
              <w:rPr>
                <w:rFonts w:hint="eastAsia"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0</w:t>
            </w:r>
          </w:p>
        </w:tc>
        <w:tc>
          <w:tcPr>
            <w:tcW w:w="53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right="0"/>
              <w:jc w:val="both"/>
              <w:textAlignment w:val="auto"/>
              <w:rPr>
                <w:rFonts w:hint="eastAsia"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0</w:t>
            </w:r>
          </w:p>
        </w:tc>
      </w:tr>
    </w:tbl>
    <w:p>
      <w:pPr>
        <w:widowControl w:val="0"/>
        <w:numPr>
          <w:numId w:val="0"/>
        </w:numPr>
        <w:jc w:val="both"/>
        <w:rPr>
          <w:rFonts w:hint="eastAsi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b w:val="0"/>
          <w:sz w:val="28"/>
          <w:szCs w:val="28"/>
          <w:u w:val="none"/>
        </w:rPr>
      </w:pPr>
      <w:r>
        <w:rPr>
          <w:rFonts w:hint="eastAsia" w:ascii="宋体" w:hAnsi="宋体" w:eastAsia="宋体" w:cs="宋体"/>
          <w:b w:val="0"/>
          <w:i w:val="0"/>
          <w:caps w:val="0"/>
          <w:color w:val="636267"/>
          <w:spacing w:val="0"/>
          <w:sz w:val="28"/>
          <w:szCs w:val="28"/>
          <w:u w:val="none"/>
          <w:shd w:val="clear" w:fill="FFFFFF"/>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555"/>
        <w:jc w:val="both"/>
        <w:textAlignment w:val="auto"/>
        <w:rPr>
          <w:rFonts w:hint="eastAsia" w:ascii="宋体" w:hAnsi="宋体" w:eastAsia="宋体" w:cs="宋体"/>
          <w:sz w:val="28"/>
          <w:szCs w:val="28"/>
          <w:u w:val="none"/>
        </w:rPr>
      </w:pPr>
      <w:r>
        <w:rPr>
          <w:rFonts w:hint="eastAsia" w:ascii="宋体" w:hAnsi="宋体" w:eastAsia="宋体" w:cs="宋体"/>
          <w:i w:val="0"/>
          <w:caps w:val="0"/>
          <w:color w:val="636267"/>
          <w:spacing w:val="0"/>
          <w:sz w:val="28"/>
          <w:szCs w:val="28"/>
          <w:u w:val="none"/>
          <w:shd w:val="clear" w:fill="FFFFFF"/>
        </w:rPr>
        <w:t>（一）对政务服务工作人员的业务培训力度不够。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555"/>
        <w:jc w:val="both"/>
        <w:textAlignment w:val="auto"/>
        <w:rPr>
          <w:rFonts w:hint="eastAsia" w:ascii="宋体" w:hAnsi="宋体" w:eastAsia="宋体" w:cs="宋体"/>
          <w:sz w:val="28"/>
          <w:szCs w:val="28"/>
          <w:u w:val="none"/>
        </w:rPr>
      </w:pPr>
      <w:r>
        <w:rPr>
          <w:rFonts w:hint="eastAsia" w:ascii="宋体" w:hAnsi="宋体" w:eastAsia="宋体" w:cs="宋体"/>
          <w:i w:val="0"/>
          <w:caps w:val="0"/>
          <w:color w:val="636267"/>
          <w:spacing w:val="0"/>
          <w:sz w:val="28"/>
          <w:szCs w:val="28"/>
          <w:u w:val="none"/>
          <w:shd w:val="clear" w:fill="FFFFFF"/>
        </w:rPr>
        <w:t>（二）有的部门政务公开工作的实效性不够强，流于形式，公开的内容不全面、不够及时。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555"/>
        <w:jc w:val="both"/>
        <w:textAlignment w:val="auto"/>
        <w:rPr>
          <w:rFonts w:hint="eastAsia" w:ascii="宋体" w:hAnsi="宋体" w:eastAsia="宋体" w:cs="宋体"/>
          <w:sz w:val="28"/>
          <w:szCs w:val="28"/>
          <w:u w:val="none"/>
        </w:rPr>
      </w:pPr>
      <w:r>
        <w:rPr>
          <w:rFonts w:hint="eastAsia" w:ascii="宋体" w:hAnsi="宋体" w:eastAsia="宋体" w:cs="宋体"/>
          <w:i w:val="0"/>
          <w:caps w:val="0"/>
          <w:color w:val="636267"/>
          <w:spacing w:val="0"/>
          <w:sz w:val="28"/>
          <w:szCs w:val="28"/>
          <w:u w:val="none"/>
          <w:shd w:val="clear" w:fill="FFFFFF"/>
        </w:rPr>
        <w:t>（三）部分村级政务服务中心网络仍旧不通，导致政务公开工作无法正常开展。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b w:val="0"/>
          <w:sz w:val="28"/>
          <w:szCs w:val="28"/>
          <w:u w:val="none"/>
        </w:rPr>
      </w:pPr>
      <w:r>
        <w:rPr>
          <w:rFonts w:hint="eastAsia" w:ascii="宋体" w:hAnsi="宋体" w:eastAsia="宋体" w:cs="宋体"/>
          <w:b w:val="0"/>
          <w:i w:val="0"/>
          <w:caps w:val="0"/>
          <w:color w:val="636267"/>
          <w:spacing w:val="0"/>
          <w:sz w:val="28"/>
          <w:szCs w:val="28"/>
          <w:u w:val="none"/>
          <w:shd w:val="clear" w:fill="FFFFFF"/>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555"/>
        <w:jc w:val="both"/>
        <w:textAlignment w:val="auto"/>
        <w:rPr>
          <w:rFonts w:hint="eastAsia" w:ascii="宋体" w:hAnsi="宋体" w:eastAsia="宋体" w:cs="宋体"/>
          <w:sz w:val="28"/>
          <w:szCs w:val="28"/>
          <w:u w:val="none"/>
        </w:rPr>
      </w:pPr>
      <w:r>
        <w:rPr>
          <w:rFonts w:hint="eastAsia" w:ascii="宋体" w:hAnsi="宋体" w:eastAsia="宋体" w:cs="宋体"/>
          <w:i w:val="0"/>
          <w:caps w:val="0"/>
          <w:color w:val="636267"/>
          <w:spacing w:val="0"/>
          <w:sz w:val="28"/>
          <w:szCs w:val="28"/>
          <w:u w:val="none"/>
          <w:shd w:val="clear" w:fill="FFFFFF"/>
        </w:rPr>
        <w:t>（一）创新思路，突出重点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555"/>
        <w:jc w:val="both"/>
        <w:textAlignment w:val="auto"/>
        <w:rPr>
          <w:rFonts w:hint="eastAsia" w:ascii="宋体" w:hAnsi="宋体" w:eastAsia="宋体" w:cs="宋体"/>
          <w:sz w:val="28"/>
          <w:szCs w:val="28"/>
          <w:u w:val="none"/>
        </w:rPr>
      </w:pPr>
      <w:r>
        <w:rPr>
          <w:rFonts w:hint="eastAsia" w:ascii="宋体" w:hAnsi="宋体" w:eastAsia="宋体" w:cs="宋体"/>
          <w:i w:val="0"/>
          <w:caps w:val="0"/>
          <w:color w:val="636267"/>
          <w:spacing w:val="0"/>
          <w:sz w:val="28"/>
          <w:szCs w:val="28"/>
          <w:u w:val="none"/>
          <w:shd w:val="clear" w:fill="FFFFFF"/>
        </w:rPr>
        <w:t>一是坚持利用网络发布公开信息。我镇在利用市政府信息公开平台开展政府信息公开的同时，同时做好“美丽阁山我的家”微信公众号和“阁山政务微博”公众号的维护，及时发布信息。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555"/>
        <w:jc w:val="both"/>
        <w:textAlignment w:val="auto"/>
        <w:rPr>
          <w:rFonts w:hint="eastAsia" w:ascii="宋体" w:hAnsi="宋体" w:eastAsia="宋体" w:cs="宋体"/>
          <w:sz w:val="28"/>
          <w:szCs w:val="28"/>
          <w:u w:val="none"/>
        </w:rPr>
      </w:pPr>
      <w:r>
        <w:rPr>
          <w:rFonts w:hint="eastAsia" w:ascii="宋体" w:hAnsi="宋体" w:eastAsia="宋体" w:cs="宋体"/>
          <w:i w:val="0"/>
          <w:caps w:val="0"/>
          <w:color w:val="636267"/>
          <w:spacing w:val="0"/>
          <w:sz w:val="28"/>
          <w:szCs w:val="28"/>
          <w:u w:val="none"/>
          <w:shd w:val="clear" w:fill="FFFFFF"/>
        </w:rPr>
        <w:t> 二是充分利用公开栏和电子设施进行信息公开。除利用宣传栏和政务公开栏发布各项公开信息外，我镇还在镇机关门厅通道安装大型LED显示屏，对全镇党务、政务相关工作以及镇域农村社区建设等工作面向公众进行公开，接受广大干部群众的监督，创新服务群众举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555"/>
        <w:jc w:val="both"/>
        <w:textAlignment w:val="auto"/>
        <w:rPr>
          <w:rFonts w:hint="eastAsia" w:ascii="宋体" w:hAnsi="宋体" w:eastAsia="宋体" w:cs="宋体"/>
          <w:sz w:val="28"/>
          <w:szCs w:val="28"/>
          <w:u w:val="none"/>
        </w:rPr>
      </w:pPr>
      <w:r>
        <w:rPr>
          <w:rFonts w:hint="eastAsia" w:ascii="宋体" w:hAnsi="宋体" w:eastAsia="宋体" w:cs="宋体"/>
          <w:i w:val="0"/>
          <w:caps w:val="0"/>
          <w:color w:val="636267"/>
          <w:spacing w:val="0"/>
          <w:sz w:val="28"/>
          <w:szCs w:val="28"/>
          <w:u w:val="none"/>
          <w:shd w:val="clear" w:fill="FFFFFF"/>
        </w:rPr>
        <w:t>三是注重利用会议公开的作用。重点用于当前村（社区）一级基层群众对镇、村、社各项工作开展情况的了解、参与愿望，确保广大群众以最直观的形势履行参与权与知情权。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555"/>
        <w:jc w:val="both"/>
        <w:textAlignment w:val="auto"/>
        <w:rPr>
          <w:rFonts w:hint="eastAsia" w:ascii="宋体" w:hAnsi="宋体" w:eastAsia="宋体" w:cs="宋体"/>
          <w:sz w:val="28"/>
          <w:szCs w:val="28"/>
          <w:u w:val="none"/>
        </w:rPr>
      </w:pPr>
      <w:r>
        <w:rPr>
          <w:rFonts w:hint="eastAsia" w:ascii="宋体" w:hAnsi="宋体" w:eastAsia="宋体" w:cs="宋体"/>
          <w:i w:val="0"/>
          <w:caps w:val="0"/>
          <w:color w:val="636267"/>
          <w:spacing w:val="0"/>
          <w:sz w:val="28"/>
          <w:szCs w:val="28"/>
          <w:u w:val="none"/>
          <w:shd w:val="clear" w:fill="FFFFFF"/>
        </w:rPr>
        <w:t>（三）完善制度，规范公开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宋体" w:hAnsi="宋体" w:eastAsia="宋体" w:cs="宋体"/>
          <w:sz w:val="28"/>
          <w:szCs w:val="28"/>
          <w:u w:val="none"/>
        </w:rPr>
      </w:pPr>
      <w:r>
        <w:rPr>
          <w:rFonts w:hint="eastAsia" w:ascii="宋体" w:hAnsi="宋体" w:eastAsia="宋体" w:cs="宋体"/>
          <w:i w:val="0"/>
          <w:caps w:val="0"/>
          <w:color w:val="636267"/>
          <w:spacing w:val="0"/>
          <w:sz w:val="28"/>
          <w:szCs w:val="28"/>
          <w:u w:val="none"/>
          <w:shd w:val="clear" w:fill="FFFFFF"/>
        </w:rPr>
        <w:t>为保证政务公开工作的经常化、制度化、规范化，确保政务公开工作高质量、高标准、严要求地进行，做到全面公开、及时公开，我镇建立和完善了有关的工作制度：一是领导责任制，建立起主要领导负总责、分管领导主抓、各有关部门配合的工作机制；二是建立政务公开工作的长效机制；三是定期检查考核制度，镇政务公开监督小组及各村委单位的政务（村务）公开监督小组，做到每季度检查政务村务公开一次，发现问题及时纠正。同时，把政务村务公开工作列入考核各村委会、站所部门的内容之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972506"/>
    <w:multiLevelType w:val="singleLevel"/>
    <w:tmpl w:val="C7972506"/>
    <w:lvl w:ilvl="0" w:tentative="0">
      <w:start w:val="4"/>
      <w:numFmt w:val="chineseCounting"/>
      <w:suff w:val="nothing"/>
      <w:lvlText w:val="%1、"/>
      <w:lvlJc w:val="left"/>
      <w:rPr>
        <w:rFonts w:hint="eastAsia"/>
      </w:rPr>
    </w:lvl>
  </w:abstractNum>
  <w:abstractNum w:abstractNumId="1">
    <w:nsid w:val="762C6939"/>
    <w:multiLevelType w:val="singleLevel"/>
    <w:tmpl w:val="762C693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49471B"/>
    <w:rsid w:val="061A72E3"/>
    <w:rsid w:val="17547042"/>
    <w:rsid w:val="2FE851F8"/>
    <w:rsid w:val="4849471B"/>
    <w:rsid w:val="56E25843"/>
    <w:rsid w:val="5C021328"/>
    <w:rsid w:val="5D861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2021-02-20T01:27:00Z</dcterms:created>
  <dc:creator>臱鱼</dc:creator>
  <cp:lastModifiedBy>臱鱼</cp:lastModifiedBy>
  <dcterms:modified xsi:type="dcterms:W3CDTF">2021-12-10T03:08:39Z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