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樟树市市场监督管理局</w:t>
      </w:r>
    </w:p>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2023年政府信息公开工作年度报告</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 w:hAnsi="仿宋" w:eastAsia="仿宋_GB2312" w:cs="仿宋"/>
          <w:highlight w:val="none"/>
        </w:rPr>
      </w:pPr>
      <w:r>
        <w:rPr>
          <w:rFonts w:hint="eastAsia" w:ascii="仿宋" w:hAnsi="仿宋" w:eastAsia="仿宋_GB2312" w:cs="仿宋"/>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w:t>
      </w:r>
      <w:r>
        <w:rPr>
          <w:rFonts w:hint="eastAsia" w:ascii="仿宋" w:hAnsi="仿宋" w:eastAsia="仿宋_GB2312" w:cs="仿宋"/>
        </w:rPr>
        <w:t>由</w:t>
      </w:r>
      <w:r>
        <w:rPr>
          <w:rFonts w:hint="eastAsia" w:ascii="仿宋" w:hAnsi="仿宋" w:eastAsia="仿宋_GB2312" w:cs="仿宋"/>
          <w:highlight w:val="none"/>
          <w:lang w:eastAsia="zh-CN"/>
        </w:rPr>
        <w:t>樟树市市场监督管理局</w:t>
      </w:r>
      <w:r>
        <w:rPr>
          <w:rFonts w:hint="eastAsia" w:ascii="仿宋" w:hAnsi="仿宋" w:eastAsia="仿宋_GB2312" w:cs="仿宋"/>
          <w:highlight w:val="none"/>
        </w:rPr>
        <w:t>结合樟树市人民政府网站、樟树市政府信息公开平台等有关统计数据编制。</w:t>
      </w:r>
      <w:r>
        <w:rPr>
          <w:rFonts w:hint="eastAsia" w:ascii="仿宋" w:hAnsi="仿宋" w:eastAsia="仿宋_GB2312" w:cs="仿宋"/>
          <w:lang w:val="en-US" w:eastAsia="zh-CN"/>
        </w:rPr>
        <w:t>本年度报告中所列数据的统计期限自2023年1月1日起至2023年12月31日止。全文包括总体情况，主动公开政府信息情况，收到和处理政府信息公开申请情况，政府信息公开行政复议、行政诉讼情况，存在的主要问题及改进情况，其他需要报告的事项共六部分组成。本年度报告的电子版可以从樟树市人民政府网站（http://www.zhangshu.gov.cn）下载。如对本报告有任何疑问，请与</w:t>
      </w:r>
      <w:r>
        <w:rPr>
          <w:rFonts w:hint="eastAsia" w:ascii="仿宋" w:hAnsi="仿宋" w:eastAsia="仿宋_GB2312" w:cs="仿宋"/>
          <w:highlight w:val="none"/>
          <w:lang w:eastAsia="zh-CN"/>
        </w:rPr>
        <w:t>樟树市市场监督管理局办公室</w:t>
      </w:r>
      <w:r>
        <w:rPr>
          <w:rFonts w:hint="eastAsia" w:ascii="仿宋" w:hAnsi="仿宋" w:eastAsia="仿宋_GB2312" w:cs="仿宋"/>
          <w:lang w:val="en-US" w:eastAsia="zh-CN"/>
        </w:rPr>
        <w:t>联系（</w:t>
      </w:r>
      <w:r>
        <w:rPr>
          <w:rFonts w:hint="eastAsia" w:ascii="仿宋" w:hAnsi="仿宋" w:eastAsia="仿宋_GB2312" w:cs="仿宋"/>
          <w:highlight w:val="none"/>
        </w:rPr>
        <w:t>地址：</w:t>
      </w:r>
      <w:r>
        <w:rPr>
          <w:rFonts w:hint="eastAsia" w:ascii="仿宋" w:hAnsi="仿宋" w:eastAsia="仿宋_GB2312" w:cs="仿宋"/>
          <w:highlight w:val="none"/>
          <w:lang w:eastAsia="zh-CN"/>
        </w:rPr>
        <w:t>樟树市福城街道淦阳路</w:t>
      </w:r>
      <w:r>
        <w:rPr>
          <w:rFonts w:hint="eastAsia" w:ascii="仿宋" w:hAnsi="仿宋" w:eastAsia="仿宋_GB2312" w:cs="仿宋"/>
          <w:highlight w:val="none"/>
          <w:lang w:val="en-US" w:eastAsia="zh-CN"/>
        </w:rPr>
        <w:t>10号</w:t>
      </w:r>
      <w:r>
        <w:rPr>
          <w:rFonts w:hint="eastAsia" w:ascii="仿宋" w:hAnsi="仿宋" w:eastAsia="仿宋_GB2312" w:cs="仿宋"/>
          <w:highlight w:val="none"/>
        </w:rPr>
        <w:t>，电话：</w:t>
      </w:r>
      <w:r>
        <w:rPr>
          <w:rFonts w:hint="eastAsia" w:ascii="仿宋" w:hAnsi="仿宋" w:eastAsia="仿宋_GB2312" w:cs="仿宋"/>
          <w:highlight w:val="none"/>
          <w:lang w:val="en-US" w:eastAsia="zh-CN"/>
        </w:rPr>
        <w:t>0795-7333549</w:t>
      </w:r>
      <w:r>
        <w:rPr>
          <w:rFonts w:hint="eastAsia" w:ascii="仿宋" w:hAnsi="仿宋" w:eastAsia="仿宋_GB2312" w:cs="仿宋"/>
          <w:highlight w:val="none"/>
        </w:rPr>
        <w:t>，邮编：331200</w:t>
      </w:r>
      <w:r>
        <w:rPr>
          <w:rFonts w:hint="eastAsia" w:ascii="仿宋" w:hAnsi="仿宋" w:eastAsia="仿宋_GB2312" w:cs="仿宋"/>
          <w:lang w:val="en-US" w:eastAsia="zh-CN"/>
        </w:rPr>
        <w:t>）。</w:t>
      </w:r>
    </w:p>
    <w:p>
      <w:pPr>
        <w:keepNext w:val="0"/>
        <w:keepLines w:val="0"/>
        <w:pageBreakBefore w:val="0"/>
        <w:widowControl w:val="0"/>
        <w:kinsoku/>
        <w:wordWrap/>
        <w:overflowPunct/>
        <w:topLinePunct w:val="0"/>
        <w:autoSpaceDE/>
        <w:autoSpaceDN/>
        <w:bidi w:val="0"/>
        <w:adjustRightInd/>
        <w:snapToGrid/>
        <w:spacing w:beforeLines="30" w:afterLines="20" w:line="560" w:lineRule="exact"/>
        <w:ind w:firstLine="632" w:firstLineChars="200"/>
        <w:textAlignment w:val="auto"/>
        <w:rPr>
          <w:rFonts w:ascii="黑体" w:hAnsi="黑体" w:eastAsia="黑体" w:cs="黑体"/>
        </w:rPr>
      </w:pPr>
      <w:r>
        <w:rPr>
          <w:rFonts w:hint="eastAsia" w:ascii="黑体" w:hAnsi="黑体" w:eastAsia="黑体" w:cs="黑体"/>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2023年，樟树市市场监督管理局坚持以习近平新时代中国特色社会主义思想为指引，积极落实主题教育任务要求，深入学习宣传贯彻党的二十大精神和习近平总书记考察江西重要讲话精神。紧扣“中国药都”振兴工程奋进之年“三比三争”活动要求，聚焦市场监管工作，紧扣社会经济高质量发展大局，坚持“以公开为常态，不公开为例外”原则，持续深化政务公开，不断加强政策解读，回应社会重点关切，用心用情走好新时代互联网上的群众路线。</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 w:hAnsi="仿宋" w:eastAsia="仿宋_GB2312" w:cs="仿宋"/>
          <w:highlight w:val="none"/>
        </w:rPr>
      </w:pPr>
      <w:r>
        <w:rPr>
          <w:rFonts w:hint="eastAsia" w:ascii="楷体" w:hAnsi="楷体" w:eastAsia="楷体" w:cs="楷体"/>
          <w:b/>
          <w:bCs/>
          <w:highlight w:val="none"/>
        </w:rPr>
        <w:t>(一)主动公开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 w:hAnsi="仿宋" w:eastAsia="仿宋_GB2312" w:cs="仿宋"/>
          <w:highlight w:val="yellow"/>
          <w:lang w:eastAsia="zh-CN"/>
        </w:rPr>
      </w:pPr>
      <w:r>
        <w:rPr>
          <w:rFonts w:hint="eastAsia" w:ascii="仿宋" w:hAnsi="仿宋" w:eastAsia="仿宋_GB2312" w:cs="仿宋"/>
          <w:lang w:val="en-US" w:eastAsia="zh-CN"/>
        </w:rPr>
        <w:t>2023年，市场监</w:t>
      </w:r>
      <w:r>
        <w:rPr>
          <w:rFonts w:hint="eastAsia" w:ascii="仿宋" w:hAnsi="仿宋" w:eastAsia="仿宋_GB2312" w:cs="仿宋"/>
          <w:lang w:val="en-US" w:eastAsia="zh-CN"/>
        </w:rPr>
        <w:t>管局严格按照《条例》的要求，坚持“应公开尽公开”原则，不断扩大信息公开范围，细化公开内容，提高信息公开质量。全年共主动公开了涉及与公众密切相关的重要工作动态、政策法规等方面信息共计167条。其中，信息公开指南1条，政策文件信息5条，政策解读信息6条；主动公开了工作动态信息57条，规划计划信息3条，行政执法信息3条，机构职能信息3条，部门预决算信息2条，建议提案办理信息3条，食品药品安全专栏信息61条，产品质量信息7条，市场监管专栏信息15条，年度报告1条。2023年，我局还组织召开了1场“惠民生、暖民心”新闻发布会，围绕市场监管领域的优化营商环境政策等信息，就热点问题回答记者提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 w:hAnsi="楷体" w:eastAsia="楷体" w:cs="楷体"/>
          <w:b/>
          <w:bCs/>
          <w:highlight w:val="none"/>
        </w:rPr>
      </w:pPr>
      <w:r>
        <w:rPr>
          <w:rFonts w:hint="eastAsia" w:ascii="楷体" w:hAnsi="楷体" w:eastAsia="楷体" w:cs="楷体"/>
          <w:b/>
          <w:bCs/>
          <w:highlight w:val="none"/>
        </w:rPr>
        <w:t>(二)依申请公开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 w:hAnsi="仿宋" w:eastAsia="仿宋_GB2312" w:cs="仿宋"/>
          <w:lang w:val="en-US" w:eastAsia="zh-CN"/>
        </w:rPr>
      </w:pPr>
      <w:r>
        <w:rPr>
          <w:rFonts w:hint="eastAsia" w:ascii="仿宋" w:hAnsi="仿宋" w:eastAsia="仿宋_GB2312" w:cs="仿宋"/>
          <w:lang w:val="en-US" w:eastAsia="zh-CN"/>
        </w:rPr>
        <w:t>全面畅通政府信息依申请公开渠道，进一步健全樟树市市场监管局政府信息公开申请登记、审核、办理、答复、归档闭环管理机制。2023年共受理政府信息公开申请1件，</w:t>
      </w:r>
      <w:r>
        <w:rPr>
          <w:rFonts w:hint="eastAsia" w:ascii="仿宋" w:hAnsi="仿宋" w:eastAsia="仿宋_GB2312" w:cs="仿宋"/>
          <w:lang w:val="en-US" w:eastAsia="zh-CN"/>
        </w:rPr>
        <w:t>已按程序在规定的时间内严格落实《依申请公开政府信息工作制度》要求答复申请人，并对办理情况进行了整理归档。</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 w:hAnsi="楷体" w:eastAsia="楷体" w:cs="楷体"/>
          <w:b/>
          <w:bCs/>
          <w:highlight w:val="none"/>
        </w:rPr>
      </w:pPr>
      <w:r>
        <w:rPr>
          <w:rFonts w:hint="eastAsia" w:ascii="楷体" w:hAnsi="楷体" w:eastAsia="楷体" w:cs="楷体"/>
          <w:b/>
          <w:bCs/>
          <w:highlight w:val="none"/>
        </w:rPr>
        <w:t>(三)政府信息管理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 w:hAnsi="仿宋" w:eastAsia="仿宋_GB2312" w:cs="仿宋"/>
          <w:lang w:val="en-US" w:eastAsia="zh-CN"/>
        </w:rPr>
      </w:pPr>
      <w:r>
        <w:rPr>
          <w:rFonts w:hint="eastAsia" w:ascii="仿宋" w:hAnsi="仿宋" w:eastAsia="仿宋_GB2312" w:cs="仿宋"/>
          <w:b/>
          <w:bCs/>
          <w:lang w:val="en-US" w:eastAsia="zh-CN"/>
        </w:rPr>
        <w:t>一是</w:t>
      </w:r>
      <w:r>
        <w:rPr>
          <w:rFonts w:hint="eastAsia" w:ascii="仿宋" w:hAnsi="仿宋" w:eastAsia="仿宋_GB2312" w:cs="仿宋"/>
          <w:lang w:val="en-US" w:eastAsia="zh-CN"/>
        </w:rPr>
        <w:t>严格落实政府信息发布“三审三校”和保密检查制度，确保发布信息内容真实准确；</w:t>
      </w:r>
      <w:r>
        <w:rPr>
          <w:rFonts w:hint="eastAsia" w:ascii="仿宋" w:hAnsi="仿宋" w:eastAsia="仿宋_GB2312" w:cs="仿宋"/>
          <w:b/>
          <w:bCs/>
          <w:lang w:val="en-US" w:eastAsia="zh-CN"/>
        </w:rPr>
        <w:t>二是</w:t>
      </w:r>
      <w:r>
        <w:rPr>
          <w:rFonts w:hint="eastAsia" w:ascii="仿宋" w:hAnsi="仿宋" w:eastAsia="仿宋_GB2312" w:cs="仿宋"/>
          <w:lang w:val="en-US" w:eastAsia="zh-CN"/>
        </w:rPr>
        <w:t>积极开展政府网站和政务新媒体日常巡检，及时更新栏目、修改错敏字、删除暗链错链，保障信息安全；</w:t>
      </w:r>
      <w:r>
        <w:rPr>
          <w:rFonts w:hint="eastAsia" w:ascii="仿宋" w:hAnsi="仿宋" w:eastAsia="仿宋_GB2312" w:cs="仿宋"/>
          <w:b/>
          <w:bCs/>
          <w:lang w:val="en-US" w:eastAsia="zh-CN"/>
        </w:rPr>
        <w:t>三是</w:t>
      </w:r>
      <w:r>
        <w:rPr>
          <w:rFonts w:hint="eastAsia" w:ascii="仿宋" w:hAnsi="仿宋" w:eastAsia="仿宋_GB2312" w:cs="仿宋"/>
          <w:lang w:val="en-US" w:eastAsia="zh-CN"/>
        </w:rPr>
        <w:t>广泛采用图文并茂、短视频、小漫画等喜闻乐见的形式，及时向广大群众和企业商家等服务对象宣传市场监管政策和法律法规，为群众答疑解惑，给企业解难纾困。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 w:hAnsi="楷体" w:eastAsia="楷体" w:cs="楷体"/>
          <w:b/>
          <w:bCs/>
          <w:highlight w:val="none"/>
        </w:rPr>
      </w:pPr>
      <w:r>
        <w:rPr>
          <w:rFonts w:hint="eastAsia" w:ascii="楷体" w:hAnsi="楷体" w:eastAsia="楷体" w:cs="楷体"/>
          <w:b/>
          <w:bCs/>
          <w:highlight w:val="none"/>
        </w:rPr>
        <w:t>(四)政府信息公开平台建设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 w:hAnsi="仿宋" w:eastAsia="仿宋_GB2312" w:cs="仿宋"/>
          <w:lang w:val="en-US" w:eastAsia="zh-CN"/>
        </w:rPr>
      </w:pPr>
      <w:r>
        <w:rPr>
          <w:rFonts w:hint="eastAsia" w:ascii="仿宋" w:hAnsi="仿宋" w:eastAsia="仿宋_GB2312" w:cs="仿宋"/>
          <w:lang w:val="en-US" w:eastAsia="zh-CN"/>
        </w:rPr>
        <w:t>严格落实专人专责，对照政府网站与政务新媒体检查标准，做好平台信息发布、日常巡查和维护。配合上级做好安全评估和审查，定期开展自查自纠，防范化解失密泄密隐患风险，有效保障了平台全年的规范运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 w:hAnsi="楷体" w:eastAsia="楷体" w:cs="楷体"/>
          <w:b/>
          <w:bCs/>
          <w:highlight w:val="none"/>
        </w:rPr>
      </w:pPr>
      <w:bookmarkStart w:id="0" w:name="_GoBack"/>
      <w:r>
        <w:rPr>
          <w:rFonts w:hint="eastAsia" w:ascii="楷体" w:hAnsi="楷体" w:eastAsia="楷体" w:cs="楷体"/>
          <w:b/>
          <w:bCs/>
          <w:highlight w:val="none"/>
        </w:rPr>
        <w:t>(五)监督保障</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 w:hAnsi="仿宋" w:eastAsia="仿宋_GB2312" w:cs="仿宋"/>
          <w:highlight w:val="yellow"/>
          <w:lang w:eastAsia="zh-CN"/>
        </w:rPr>
      </w:pPr>
      <w:r>
        <w:rPr>
          <w:rFonts w:hint="eastAsia" w:ascii="仿宋" w:hAnsi="仿宋" w:eastAsia="仿宋_GB2312" w:cs="仿宋"/>
          <w:lang w:val="en-US" w:eastAsia="zh-CN"/>
        </w:rPr>
        <w:t>通过成立政府信息公开工作领导小组和监督小组，建立了由局主要领导负总责、分管领导牵头抓总、局办公室负责日常组织协调的工作机制。根据任务部署，及时完善局信息公开指南，做好政府信息公开问题的整改反馈。同时积极安排工作人员参与由市政府和本单位组织的不定期集中培训，增强政务公开意识，进一步提升监督保障水平。</w:t>
      </w:r>
    </w:p>
    <w:p>
      <w:pPr>
        <w:spacing w:beforeLines="30" w:afterLines="20"/>
        <w:ind w:firstLine="632" w:firstLineChars="200"/>
        <w:rPr>
          <w:rFonts w:hint="eastAsia" w:ascii="黑体" w:hAnsi="黑体" w:eastAsia="黑体" w:cs="黑体"/>
          <w:lang w:val="en-US" w:eastAsia="zh-CN"/>
        </w:rPr>
      </w:pPr>
      <w:r>
        <w:rPr>
          <w:rFonts w:hint="eastAsia" w:ascii="黑体" w:hAnsi="黑体" w:eastAsia="黑体" w:cs="黑体"/>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lang w:val="en-US"/>
              </w:rPr>
            </w:pPr>
            <w:r>
              <w:rPr>
                <w:rFonts w:hint="default" w:ascii="Calibri" w:hAnsi="Calibri" w:eastAsia="仿宋" w:cs="Calibri"/>
                <w:kern w:val="0"/>
                <w:sz w:val="21"/>
                <w:szCs w:val="21"/>
                <w:lang w:val="en-US" w:eastAsia="zh-CN" w:bidi="ar"/>
              </w:rPr>
              <w:t> </w:t>
            </w:r>
            <w:r>
              <w:rPr>
                <w:rFonts w:hint="eastAsia" w:ascii="Calibri" w:hAnsi="Calibri" w:cs="Calibri"/>
                <w:kern w:val="0"/>
                <w:sz w:val="21"/>
                <w:szCs w:val="21"/>
                <w:lang w:val="en-US" w:eastAsia="zh-CN" w:bidi="ar"/>
              </w:rPr>
              <w:t>8516</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206　</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36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24"/>
                <w:szCs w:val="24"/>
                <w:lang w:val="en-US" w:eastAsia="zh-CN"/>
              </w:rPr>
            </w:pPr>
            <w:r>
              <w:rPr>
                <w:rFonts w:hint="eastAsia" w:ascii="宋体" w:hAnsi="宋体" w:eastAsia="宋体" w:cs="宋体"/>
                <w:color w:val="000000"/>
                <w:kern w:val="0"/>
                <w:sz w:val="20"/>
                <w:szCs w:val="20"/>
                <w:lang w:val="en-US" w:eastAsia="zh-CN" w:bidi="ar"/>
              </w:rPr>
              <w:t>0</w:t>
            </w:r>
          </w:p>
        </w:tc>
      </w:tr>
    </w:tbl>
    <w:p>
      <w:pPr>
        <w:spacing w:beforeLines="30" w:afterLines="20"/>
        <w:ind w:firstLine="632" w:firstLineChars="200"/>
        <w:rPr>
          <w:rFonts w:hint="default" w:ascii="黑体" w:hAnsi="黑体" w:eastAsia="黑体" w:cs="黑体"/>
          <w:lang w:val="en-US" w:eastAsia="zh-CN"/>
        </w:rPr>
      </w:pPr>
      <w:r>
        <w:rPr>
          <w:rFonts w:hint="eastAsia" w:ascii="黑体" w:hAnsi="黑体" w:eastAsia="黑体" w:cs="黑体"/>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bl>
    <w:p>
      <w:pPr>
        <w:spacing w:beforeLines="30" w:afterLines="20"/>
        <w:rPr>
          <w:rFonts w:hint="eastAsia" w:ascii="黑体" w:hAnsi="黑体" w:eastAsia="黑体" w:cs="黑体"/>
          <w:lang w:val="en-US" w:eastAsia="zh-CN"/>
        </w:rPr>
      </w:pPr>
      <w:r>
        <w:rPr>
          <w:rFonts w:hint="eastAsia" w:ascii="黑体" w:hAnsi="黑体" w:eastAsia="黑体" w:cs="黑体"/>
          <w:lang w:val="en-US" w:eastAsia="zh-CN"/>
        </w:rPr>
        <w:t xml:space="preserve">四、因政府信息公开工作被申请行政复议、提起行政诉讼情况 </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19" w:type="dxa"/>
            <w:vAlign w:val="center"/>
          </w:tcPr>
          <w:p>
            <w:pPr>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19" w:type="dxa"/>
            <w:vAlign w:val="center"/>
          </w:tcPr>
          <w:p>
            <w:pPr>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19" w:type="dxa"/>
            <w:vAlign w:val="center"/>
          </w:tcPr>
          <w:p>
            <w:pPr>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19" w:type="dxa"/>
            <w:vAlign w:val="center"/>
          </w:tcPr>
          <w:p>
            <w:pPr>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19" w:type="dxa"/>
            <w:vAlign w:val="center"/>
          </w:tcPr>
          <w:p>
            <w:pPr>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19" w:type="dxa"/>
            <w:vAlign w:val="center"/>
          </w:tcPr>
          <w:p>
            <w:pPr>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19" w:type="dxa"/>
            <w:vAlign w:val="center"/>
          </w:tcPr>
          <w:p>
            <w:pPr>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19" w:type="dxa"/>
            <w:vAlign w:val="center"/>
          </w:tcPr>
          <w:p>
            <w:pPr>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19" w:type="dxa"/>
            <w:vAlign w:val="center"/>
          </w:tcPr>
          <w:p>
            <w:pPr>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19" w:type="dxa"/>
            <w:vAlign w:val="center"/>
          </w:tcPr>
          <w:p>
            <w:pPr>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19" w:type="dxa"/>
            <w:vAlign w:val="center"/>
          </w:tcPr>
          <w:p>
            <w:pPr>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0" w:type="dxa"/>
            <w:vAlign w:val="center"/>
          </w:tcPr>
          <w:p>
            <w:pPr>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0" w:type="dxa"/>
            <w:vAlign w:val="center"/>
          </w:tcPr>
          <w:p>
            <w:pPr>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0" w:type="dxa"/>
            <w:vAlign w:val="center"/>
          </w:tcPr>
          <w:p>
            <w:pPr>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Lines="30" w:afterLines="20" w:line="560" w:lineRule="exact"/>
        <w:ind w:firstLine="632" w:firstLineChars="200"/>
        <w:textAlignment w:val="auto"/>
        <w:rPr>
          <w:rFonts w:ascii="黑体" w:hAnsi="黑体" w:eastAsia="黑体" w:cs="黑体"/>
        </w:rPr>
      </w:pPr>
      <w:r>
        <w:rPr>
          <w:rFonts w:hint="eastAsia" w:ascii="黑体" w:hAnsi="黑体" w:eastAsia="黑体" w:cs="黑体"/>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虽然2023年我局的政务公开工作取得了一定成效，但也还存在一些短板和不足。比如：公开意识有待增强、公开内容有待深化、服务主动性有待加强、群众参与度有待提高等问题。对此，我局将认真研究，积极改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 w:hAnsi="仿宋" w:eastAsia="仿宋_GB2312" w:cs="仿宋"/>
          <w:highlight w:val="none"/>
          <w:lang w:val="en-US" w:eastAsia="zh-CN"/>
        </w:rPr>
      </w:pPr>
      <w:r>
        <w:rPr>
          <w:rFonts w:hint="eastAsia" w:ascii="仿宋" w:hAnsi="仿宋" w:eastAsia="仿宋_GB2312" w:cs="仿宋"/>
          <w:b/>
          <w:bCs/>
          <w:highlight w:val="none"/>
          <w:lang w:val="en-US" w:eastAsia="zh-CN"/>
        </w:rPr>
        <w:t>一是进一步强化组织领导。</w:t>
      </w:r>
      <w:r>
        <w:rPr>
          <w:rFonts w:hint="eastAsia" w:ascii="仿宋" w:hAnsi="仿宋" w:eastAsia="仿宋_GB2312" w:cs="仿宋"/>
          <w:highlight w:val="none"/>
          <w:lang w:val="en-US" w:eastAsia="zh-CN"/>
        </w:rPr>
        <w:t>科学优化领导机构名称职能，明确责任分工，完善工作机制，不断创新工作方式方法，加大信息报送力度，推进政务公开工作更加有序、便民、高效，促进广大人民群众的知情权、参与权、表达权和监督权得到有力保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 w:hAnsi="仿宋" w:eastAsia="仿宋_GB2312" w:cs="仿宋"/>
          <w:highlight w:val="none"/>
          <w:lang w:val="en-US" w:eastAsia="zh-CN"/>
        </w:rPr>
      </w:pPr>
      <w:r>
        <w:rPr>
          <w:rFonts w:hint="eastAsia" w:ascii="仿宋" w:hAnsi="仿宋" w:eastAsia="仿宋_GB2312" w:cs="仿宋"/>
          <w:b/>
          <w:bCs/>
          <w:highlight w:val="none"/>
          <w:lang w:val="en-US" w:eastAsia="zh-CN"/>
        </w:rPr>
        <w:t>二是进一步压实主体责任。</w:t>
      </w:r>
      <w:r>
        <w:rPr>
          <w:rFonts w:hint="eastAsia" w:ascii="仿宋" w:hAnsi="仿宋" w:eastAsia="仿宋_GB2312" w:cs="仿宋"/>
          <w:highlight w:val="none"/>
          <w:lang w:val="en-US" w:eastAsia="zh-CN"/>
        </w:rPr>
        <w:t>切实</w:t>
      </w:r>
      <w:r>
        <w:rPr>
          <w:rFonts w:hint="eastAsia" w:ascii="仿宋" w:hAnsi="仿宋" w:eastAsia="仿宋_GB2312" w:cs="仿宋"/>
          <w:highlight w:val="none"/>
          <w:lang w:val="en-US" w:eastAsia="zh-CN"/>
        </w:rPr>
        <w:t>抓好党政机关公文的严肃性和准确性，严格执行市场监管领域的政府信息公开有关制度和工作要求，加强对公开内容的审核把关。</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 w:hAnsi="仿宋" w:eastAsia="仿宋_GB2312" w:cs="仿宋"/>
          <w:highlight w:val="none"/>
          <w:lang w:val="en-US" w:eastAsia="zh-CN"/>
        </w:rPr>
      </w:pPr>
      <w:r>
        <w:rPr>
          <w:rFonts w:hint="eastAsia" w:ascii="仿宋" w:hAnsi="仿宋" w:eastAsia="仿宋_GB2312" w:cs="仿宋"/>
          <w:b/>
          <w:bCs/>
          <w:highlight w:val="none"/>
          <w:lang w:val="en-US" w:eastAsia="zh-CN"/>
        </w:rPr>
        <w:t>三是进一步规范公开范围。</w:t>
      </w:r>
      <w:r>
        <w:rPr>
          <w:rFonts w:hint="eastAsia" w:ascii="仿宋" w:hAnsi="仿宋" w:eastAsia="仿宋_GB2312" w:cs="仿宋"/>
          <w:highlight w:val="none"/>
          <w:lang w:val="en-US" w:eastAsia="zh-CN"/>
        </w:rPr>
        <w:t>认真</w:t>
      </w:r>
      <w:r>
        <w:rPr>
          <w:rFonts w:hint="eastAsia" w:ascii="仿宋" w:hAnsi="仿宋" w:eastAsia="仿宋_GB2312" w:cs="仿宋"/>
          <w:highlight w:val="none"/>
          <w:lang w:val="en-US" w:eastAsia="zh-CN"/>
        </w:rPr>
        <w:t>对照《条例》的具体要求，扎实做好政府信息公开事项清理工作，查漏补缺、取长补短，确保应公开的政务信息全部公开。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 w:hAnsi="仿宋" w:eastAsia="仿宋_GB2312" w:cs="仿宋"/>
          <w:highlight w:val="none"/>
          <w:lang w:val="en-US" w:eastAsia="zh-CN"/>
        </w:rPr>
      </w:pPr>
      <w:r>
        <w:rPr>
          <w:rFonts w:hint="eastAsia" w:ascii="仿宋" w:hAnsi="仿宋" w:eastAsia="仿宋_GB2312" w:cs="仿宋"/>
          <w:b/>
          <w:bCs/>
          <w:highlight w:val="none"/>
          <w:lang w:val="en-US" w:eastAsia="zh-CN"/>
        </w:rPr>
        <w:t>四是进一步拓宽公开渠道。</w:t>
      </w:r>
      <w:r>
        <w:rPr>
          <w:rFonts w:hint="eastAsia" w:ascii="仿宋" w:hAnsi="仿宋" w:eastAsia="仿宋_GB2312" w:cs="仿宋"/>
          <w:highlight w:val="none"/>
          <w:lang w:val="en-US" w:eastAsia="zh-CN"/>
        </w:rPr>
        <w:t>积极</w:t>
      </w:r>
      <w:r>
        <w:rPr>
          <w:rFonts w:hint="eastAsia" w:ascii="仿宋" w:hAnsi="仿宋" w:eastAsia="仿宋_GB2312" w:cs="仿宋"/>
          <w:highlight w:val="none"/>
          <w:lang w:val="en-US" w:eastAsia="zh-CN"/>
        </w:rPr>
        <w:t>通过网络方式加大宣传力度，进一步细化信息公开工作流程，拓宽公开渠道，确保操作简便明了，利于查找。主动听取社会各界意见和建议，推动政府信息公开工作的开展。</w:t>
      </w:r>
    </w:p>
    <w:p>
      <w:pPr>
        <w:keepNext w:val="0"/>
        <w:keepLines w:val="0"/>
        <w:pageBreakBefore w:val="0"/>
        <w:widowControl w:val="0"/>
        <w:numPr>
          <w:numId w:val="0"/>
        </w:numPr>
        <w:kinsoku/>
        <w:wordWrap/>
        <w:overflowPunct/>
        <w:topLinePunct w:val="0"/>
        <w:autoSpaceDE/>
        <w:autoSpaceDN/>
        <w:bidi w:val="0"/>
        <w:adjustRightInd/>
        <w:snapToGrid/>
        <w:spacing w:beforeLines="30" w:afterLines="20" w:line="560" w:lineRule="exact"/>
        <w:ind w:firstLine="632" w:firstLineChars="200"/>
        <w:textAlignment w:val="auto"/>
        <w:rPr>
          <w:rFonts w:hint="eastAsia" w:ascii="黑体" w:hAnsi="黑体" w:eastAsia="黑体" w:cs="黑体"/>
        </w:rPr>
      </w:pPr>
      <w:r>
        <w:rPr>
          <w:rFonts w:hint="eastAsia" w:ascii="黑体" w:hAnsi="黑体" w:eastAsia="黑体" w:cs="黑体"/>
          <w:lang w:eastAsia="zh-CN"/>
        </w:rPr>
        <w:t>六、</w:t>
      </w:r>
      <w:r>
        <w:rPr>
          <w:rFonts w:hint="eastAsia" w:ascii="黑体" w:hAnsi="黑体" w:eastAsia="黑体" w:cs="黑体"/>
        </w:rPr>
        <w:t>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 w:hAnsi="仿宋" w:eastAsia="仿宋_GB2312" w:cs="仿宋"/>
          <w:b w:val="0"/>
          <w:bCs w:val="0"/>
          <w:highlight w:val="none"/>
          <w:lang w:val="en-US" w:eastAsia="zh-CN"/>
        </w:rPr>
      </w:pPr>
      <w:r>
        <w:rPr>
          <w:rFonts w:hint="eastAsia" w:ascii="仿宋" w:hAnsi="仿宋" w:eastAsia="仿宋_GB2312" w:cs="仿宋"/>
          <w:b w:val="0"/>
          <w:bCs w:val="0"/>
          <w:highlight w:val="none"/>
          <w:lang w:val="en-US" w:eastAsia="zh-CN"/>
        </w:rPr>
        <w:t>按照《国务院办公厅关于印发〈政府信息公开信息处理费管理办法〉的通知》（国办函〔2020〕109号）规定的按件、按量收费标准，我局2023年度未产生信息处理费</w:t>
      </w:r>
      <w:r>
        <w:rPr>
          <w:rFonts w:hint="eastAsia" w:ascii="仿宋" w:hAnsi="仿宋" w:eastAsia="仿宋_GB2312" w:cs="仿宋"/>
          <w:b w:val="0"/>
          <w:bCs w:val="0"/>
          <w:highlight w:val="none"/>
          <w:lang w:val="en-US" w:eastAsia="zh-CN"/>
        </w:rPr>
        <w:t>。</w:t>
      </w:r>
    </w:p>
    <w:sectPr>
      <w:footerReference r:id="rId3" w:type="default"/>
      <w:pgSz w:w="11906" w:h="16838"/>
      <w:pgMar w:top="1417" w:right="1417" w:bottom="1417" w:left="1417" w:header="907" w:footer="907" w:gutter="0"/>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eastAsia="宋体" w:cs="宋体"/>
        <w:sz w:val="28"/>
        <w:szCs w:val="28"/>
      </w:rPr>
    </w:pP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wODgzYzMxYmQyZTA3NzI2Njk3MDQ5NTg1NmIzMTMifQ=="/>
  </w:docVars>
  <w:rsids>
    <w:rsidRoot w:val="105A4352"/>
    <w:rsid w:val="000D2E67"/>
    <w:rsid w:val="008206A8"/>
    <w:rsid w:val="00FE4653"/>
    <w:rsid w:val="02E4409E"/>
    <w:rsid w:val="06F73C84"/>
    <w:rsid w:val="07F4584C"/>
    <w:rsid w:val="0A0F4B41"/>
    <w:rsid w:val="0BED0BAC"/>
    <w:rsid w:val="0C795F72"/>
    <w:rsid w:val="100B0EE9"/>
    <w:rsid w:val="105A4352"/>
    <w:rsid w:val="106F3A1D"/>
    <w:rsid w:val="1588633B"/>
    <w:rsid w:val="1D73638D"/>
    <w:rsid w:val="206207B8"/>
    <w:rsid w:val="253925FD"/>
    <w:rsid w:val="254F7E52"/>
    <w:rsid w:val="2C27513E"/>
    <w:rsid w:val="309958AE"/>
    <w:rsid w:val="34350A8A"/>
    <w:rsid w:val="37D50499"/>
    <w:rsid w:val="3A4D6E28"/>
    <w:rsid w:val="3C2A45AC"/>
    <w:rsid w:val="3DD272A9"/>
    <w:rsid w:val="409475F1"/>
    <w:rsid w:val="41605AC0"/>
    <w:rsid w:val="42AB6802"/>
    <w:rsid w:val="43F24B97"/>
    <w:rsid w:val="464919D6"/>
    <w:rsid w:val="4A6C6248"/>
    <w:rsid w:val="4D994499"/>
    <w:rsid w:val="58E335E5"/>
    <w:rsid w:val="63604736"/>
    <w:rsid w:val="6483227A"/>
    <w:rsid w:val="67D22629"/>
    <w:rsid w:val="692F54EF"/>
    <w:rsid w:val="6BAD0F41"/>
    <w:rsid w:val="6CD60491"/>
    <w:rsid w:val="71230730"/>
    <w:rsid w:val="71C051BF"/>
    <w:rsid w:val="75D02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6</Pages>
  <Words>2539</Words>
  <Characters>2646</Characters>
  <Lines>22</Lines>
  <Paragraphs>6</Paragraphs>
  <TotalTime>28</TotalTime>
  <ScaleCrop>false</ScaleCrop>
  <LinksUpToDate>false</LinksUpToDate>
  <CharactersWithSpaces>2647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Administrator</cp:lastModifiedBy>
  <dcterms:modified xsi:type="dcterms:W3CDTF">2024-01-19T08:49:27Z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7DE2A42BDD774B5597D3988A717B07ED</vt:lpwstr>
  </property>
</Properties>
</file>