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宜春市樟树生态环境局2023年政府信息公开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w:t>
      </w:r>
      <w:bookmarkStart w:id="0" w:name="_GoBack"/>
      <w:bookmarkEnd w:id="0"/>
      <w:r>
        <w:rPr>
          <w:rFonts w:hint="eastAsia" w:ascii="仿宋_GB2312" w:hAnsi="仿宋_GB2312" w:eastAsia="仿宋_GB2312" w:cs="仿宋_GB2312"/>
          <w:color w:val="auto"/>
          <w:lang w:val="en-US" w:eastAsia="zh-CN"/>
        </w:rPr>
        <w:t>要求，由宜春市樟树生态环境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宜春市樟树生态环境局办公室联系（地址：樟树市杏佛路60号410室，电话：0795-7161525，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color w:val="auto"/>
          <w:lang w:val="en-US" w:eastAsia="zh-CN"/>
        </w:rPr>
      </w:pPr>
      <w:r>
        <w:rPr>
          <w:rFonts w:hint="eastAsia" w:ascii="黑体" w:hAnsi="黑体" w:eastAsia="黑体" w:cs="黑体"/>
          <w:color w:val="auto"/>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2023年，宜春市樟树生态环境局坚持以习近平新时代中国特色社会主义思想为指导，认真贯彻落实国家、省、市关于全面推进政务公开工作的重要部署，紧紧围绕市委、中心工作及社会群众关注关切，着力提升政府信息公开质量，推进拓宽政府信息公开渠道，不断增强政府信息公开实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eastAsia="zh-CN"/>
        </w:rPr>
        <w:t>其中公开指南</w:t>
      </w:r>
      <w:r>
        <w:rPr>
          <w:rFonts w:hint="eastAsia" w:ascii="仿宋_GB2312" w:hAnsi="仿宋_GB2312" w:eastAsia="仿宋_GB2312" w:cs="仿宋_GB2312"/>
          <w:i w:val="0"/>
          <w:caps w:val="0"/>
          <w:color w:val="auto"/>
          <w:spacing w:val="0"/>
          <w:sz w:val="32"/>
          <w:szCs w:val="32"/>
          <w:highlight w:val="none"/>
          <w:lang w:val="en-US" w:eastAsia="zh-CN"/>
        </w:rPr>
        <w:t>1条；</w:t>
      </w:r>
      <w:r>
        <w:rPr>
          <w:rFonts w:hint="eastAsia" w:ascii="仿宋_GB2312" w:hAnsi="仿宋_GB2312" w:eastAsia="仿宋_GB2312" w:cs="仿宋_GB2312"/>
          <w:i w:val="0"/>
          <w:caps w:val="0"/>
          <w:color w:val="auto"/>
          <w:spacing w:val="0"/>
          <w:sz w:val="32"/>
          <w:szCs w:val="32"/>
          <w:highlight w:val="none"/>
          <w:lang w:eastAsia="zh-CN"/>
        </w:rPr>
        <w:t>决策公开中政府文件</w:t>
      </w:r>
      <w:r>
        <w:rPr>
          <w:rFonts w:hint="eastAsia" w:ascii="仿宋_GB2312" w:hAnsi="仿宋_GB2312" w:eastAsia="仿宋_GB2312" w:cs="仿宋_GB2312"/>
          <w:i w:val="0"/>
          <w:caps w:val="0"/>
          <w:color w:val="auto"/>
          <w:spacing w:val="0"/>
          <w:sz w:val="32"/>
          <w:szCs w:val="32"/>
          <w:highlight w:val="none"/>
          <w:lang w:val="en-US" w:eastAsia="zh-CN"/>
        </w:rPr>
        <w:t>1条，其他有关文件4条，政策解读6条；执行公开中工作动态101条，规划计划2条，行政执法27条；管理公开中机构职能3条，财经信息2条；结果公开0条；服务公开0条；重点领域信息公开20条；回应关切18条。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(二)依申请公开</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ascii="仿宋" w:hAnsi="仿宋" w:eastAsia="仿宋" w:cs="仿宋"/>
          <w:i w:val="0"/>
          <w:iCs w:val="0"/>
          <w:caps w:val="0"/>
          <w:color w:val="auto"/>
          <w:spacing w:val="0"/>
          <w:sz w:val="32"/>
          <w:szCs w:val="32"/>
          <w:shd w:val="clear" w:fill="FFFFFF"/>
        </w:rPr>
      </w:pPr>
      <w:r>
        <w:rPr>
          <w:rFonts w:hint="default" w:ascii="仿宋_GB2312" w:hAnsi="仿宋_GB2312" w:eastAsia="仿宋_GB2312" w:cs="仿宋_GB2312"/>
          <w:i w:val="0"/>
          <w:caps w:val="0"/>
          <w:color w:val="auto"/>
          <w:spacing w:val="0"/>
          <w:sz w:val="32"/>
          <w:szCs w:val="32"/>
          <w:highlight w:val="none"/>
          <w:lang w:val="en-US" w:eastAsia="zh-CN"/>
        </w:rPr>
        <w:t>完善依法申请公开制度和信息公开指南，健全受理、审查、处理、答复、寄送、归档等工作流程。20</w:t>
      </w:r>
      <w:r>
        <w:rPr>
          <w:rFonts w:hint="eastAsia" w:ascii="仿宋_GB2312" w:hAnsi="仿宋_GB2312" w:eastAsia="仿宋_GB2312" w:cs="仿宋_GB2312"/>
          <w:i w:val="0"/>
          <w:caps w:val="0"/>
          <w:color w:val="auto"/>
          <w:spacing w:val="0"/>
          <w:sz w:val="32"/>
          <w:szCs w:val="32"/>
          <w:highlight w:val="none"/>
          <w:lang w:val="en-US" w:eastAsia="zh-CN"/>
        </w:rPr>
        <w:t>23</w:t>
      </w:r>
      <w:r>
        <w:rPr>
          <w:rFonts w:hint="default" w:ascii="仿宋_GB2312" w:hAnsi="仿宋_GB2312" w:eastAsia="仿宋_GB2312" w:cs="仿宋_GB2312"/>
          <w:i w:val="0"/>
          <w:caps w:val="0"/>
          <w:color w:val="auto"/>
          <w:spacing w:val="0"/>
          <w:sz w:val="32"/>
          <w:szCs w:val="32"/>
          <w:highlight w:val="none"/>
          <w:lang w:val="en-US" w:eastAsia="zh-CN"/>
        </w:rPr>
        <w:t>年，</w:t>
      </w:r>
      <w:r>
        <w:rPr>
          <w:rFonts w:hint="eastAsia" w:ascii="仿宋_GB2312" w:hAnsi="仿宋_GB2312" w:eastAsia="仿宋_GB2312" w:cs="仿宋_GB2312"/>
          <w:i w:val="0"/>
          <w:caps w:val="0"/>
          <w:color w:val="auto"/>
          <w:spacing w:val="0"/>
          <w:sz w:val="32"/>
          <w:szCs w:val="32"/>
          <w:highlight w:val="none"/>
          <w:lang w:val="en-US" w:eastAsia="zh-CN"/>
        </w:rPr>
        <w:t>宜春市樟树生态环境局未收到</w:t>
      </w:r>
      <w:r>
        <w:rPr>
          <w:rFonts w:hint="default" w:ascii="仿宋_GB2312" w:hAnsi="仿宋_GB2312" w:eastAsia="仿宋_GB2312" w:cs="仿宋_GB2312"/>
          <w:i w:val="0"/>
          <w:caps w:val="0"/>
          <w:color w:val="auto"/>
          <w:spacing w:val="0"/>
          <w:sz w:val="32"/>
          <w:szCs w:val="32"/>
          <w:highlight w:val="none"/>
          <w:lang w:val="en-US" w:eastAsia="zh-CN"/>
        </w:rPr>
        <w:t>依申请公开案件</w:t>
      </w:r>
      <w:r>
        <w:rPr>
          <w:rFonts w:hint="eastAsia" w:ascii="仿宋_GB2312" w:hAnsi="仿宋_GB2312" w:eastAsia="仿宋_GB2312" w:cs="仿宋_GB2312"/>
          <w:i w:val="0"/>
          <w:caps w:val="0"/>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楷体" w:hAnsi="楷体" w:eastAsia="楷体" w:cs="楷体"/>
          <w:b/>
          <w:bCs/>
          <w:color w:val="auto"/>
          <w:lang w:val="en-US" w:eastAsia="zh-CN"/>
        </w:rPr>
      </w:pPr>
      <w:r>
        <w:rPr>
          <w:rFonts w:hint="eastAsia" w:ascii="楷体" w:hAnsi="楷体" w:eastAsia="楷体" w:cs="楷体"/>
          <w:b/>
          <w:bCs/>
          <w:color w:val="auto"/>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i w:val="0"/>
          <w:caps w:val="0"/>
          <w:color w:val="auto"/>
          <w:spacing w:val="0"/>
          <w:sz w:val="32"/>
          <w:szCs w:val="32"/>
          <w:highlight w:val="none"/>
          <w:lang w:val="en-US" w:eastAsia="zh-CN"/>
        </w:rPr>
      </w:pPr>
      <w:r>
        <w:rPr>
          <w:rFonts w:hint="default" w:ascii="仿宋_GB2312" w:hAnsi="仿宋_GB2312" w:eastAsia="仿宋_GB2312" w:cs="仿宋_GB2312"/>
          <w:i w:val="0"/>
          <w:caps w:val="0"/>
          <w:color w:val="auto"/>
          <w:spacing w:val="0"/>
          <w:sz w:val="32"/>
          <w:szCs w:val="32"/>
          <w:highlight w:val="none"/>
          <w:lang w:val="en-US" w:eastAsia="zh-CN"/>
        </w:rPr>
        <w:t>1</w:t>
      </w:r>
      <w:r>
        <w:rPr>
          <w:rFonts w:hint="eastAsia" w:ascii="仿宋_GB2312" w:hAnsi="仿宋_GB2312" w:eastAsia="仿宋_GB2312" w:cs="仿宋_GB2312"/>
          <w:i w:val="0"/>
          <w:caps w:val="0"/>
          <w:color w:val="auto"/>
          <w:spacing w:val="0"/>
          <w:sz w:val="32"/>
          <w:szCs w:val="32"/>
          <w:highlight w:val="none"/>
          <w:lang w:val="en-US" w:eastAsia="zh-CN"/>
        </w:rPr>
        <w:t>.</w:t>
      </w:r>
      <w:r>
        <w:rPr>
          <w:rFonts w:hint="default" w:ascii="仿宋_GB2312" w:hAnsi="仿宋_GB2312" w:eastAsia="仿宋_GB2312" w:cs="仿宋_GB2312"/>
          <w:i w:val="0"/>
          <w:caps w:val="0"/>
          <w:color w:val="auto"/>
          <w:spacing w:val="0"/>
          <w:sz w:val="32"/>
          <w:szCs w:val="32"/>
          <w:highlight w:val="none"/>
          <w:lang w:val="en-US" w:eastAsia="zh-CN"/>
        </w:rPr>
        <w:t>不断拓宽公开范围，细化公开内容，规范公开渠道，使政务公开工作制度化、科学化、规范化</w:t>
      </w:r>
      <w:r>
        <w:rPr>
          <w:rFonts w:hint="eastAsia" w:ascii="仿宋_GB2312" w:hAnsi="仿宋_GB2312" w:eastAsia="仿宋_GB2312" w:cs="仿宋_GB2312"/>
          <w:i w:val="0"/>
          <w:caps w:val="0"/>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default" w:ascii="仿宋_GB2312" w:hAnsi="仿宋_GB2312" w:eastAsia="仿宋_GB2312" w:cs="仿宋_GB2312"/>
          <w:i w:val="0"/>
          <w:caps w:val="0"/>
          <w:color w:val="auto"/>
          <w:spacing w:val="0"/>
          <w:sz w:val="32"/>
          <w:szCs w:val="32"/>
          <w:highlight w:val="none"/>
          <w:lang w:val="en-US" w:eastAsia="zh-CN"/>
        </w:rPr>
        <w:t>2.</w:t>
      </w:r>
      <w:r>
        <w:rPr>
          <w:rFonts w:hint="eastAsia" w:ascii="仿宋_GB2312" w:hAnsi="仿宋_GB2312" w:eastAsia="仿宋_GB2312" w:cs="仿宋_GB2312"/>
          <w:i w:val="0"/>
          <w:caps w:val="0"/>
          <w:color w:val="auto"/>
          <w:spacing w:val="0"/>
          <w:sz w:val="32"/>
          <w:szCs w:val="32"/>
          <w:highlight w:val="none"/>
          <w:lang w:val="en-US" w:eastAsia="zh-CN"/>
        </w:rPr>
        <w:t>及时、准确公开生态环境保护工作信息。通过分解目标任务，明确信息报送数量和时限，定期通报股室信息完成情况，确保信息及时准确更新；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i w:val="0"/>
          <w:caps w:val="0"/>
          <w:color w:val="auto"/>
          <w:spacing w:val="0"/>
          <w:sz w:val="32"/>
          <w:szCs w:val="32"/>
          <w:highlight w:val="none"/>
          <w:lang w:val="en-US" w:eastAsia="zh-CN"/>
        </w:rPr>
      </w:pPr>
      <w:r>
        <w:rPr>
          <w:rFonts w:hint="default" w:ascii="仿宋_GB2312" w:hAnsi="仿宋_GB2312" w:eastAsia="仿宋_GB2312" w:cs="仿宋_GB2312"/>
          <w:i w:val="0"/>
          <w:caps w:val="0"/>
          <w:color w:val="auto"/>
          <w:spacing w:val="0"/>
          <w:sz w:val="32"/>
          <w:szCs w:val="32"/>
          <w:highlight w:val="none"/>
          <w:lang w:val="en-US" w:eastAsia="zh-CN"/>
        </w:rPr>
        <w:t>3.加强网站和新媒体内容建设和信息发布</w:t>
      </w:r>
      <w:r>
        <w:rPr>
          <w:rFonts w:hint="eastAsia" w:ascii="仿宋_GB2312" w:hAnsi="仿宋_GB2312" w:eastAsia="仿宋_GB2312" w:cs="仿宋_GB2312"/>
          <w:i w:val="0"/>
          <w:caps w:val="0"/>
          <w:color w:val="auto"/>
          <w:spacing w:val="0"/>
          <w:sz w:val="32"/>
          <w:szCs w:val="32"/>
          <w:highlight w:val="none"/>
          <w:lang w:val="en-US" w:eastAsia="zh-CN"/>
        </w:rPr>
        <w:t>的三审三校管理</w:t>
      </w:r>
      <w:r>
        <w:rPr>
          <w:rFonts w:hint="default" w:ascii="仿宋_GB2312" w:hAnsi="仿宋_GB2312" w:eastAsia="仿宋_GB2312" w:cs="仿宋_GB2312"/>
          <w:i w:val="0"/>
          <w:caps w:val="0"/>
          <w:color w:val="auto"/>
          <w:spacing w:val="0"/>
          <w:sz w:val="32"/>
          <w:szCs w:val="32"/>
          <w:highlight w:val="none"/>
          <w:lang w:val="en-US" w:eastAsia="zh-CN"/>
        </w:rPr>
        <w:t>，所有政务信息均需经领导审核后方可发布</w:t>
      </w:r>
      <w:r>
        <w:rPr>
          <w:rFonts w:hint="eastAsia" w:ascii="仿宋_GB2312" w:hAnsi="仿宋_GB2312" w:eastAsia="仿宋_GB2312" w:cs="仿宋_GB2312"/>
          <w:i w:val="0"/>
          <w:caps w:val="0"/>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default" w:ascii="仿宋_GB2312" w:hAnsi="仿宋_GB2312" w:eastAsia="仿宋_GB2312" w:cs="仿宋_GB2312"/>
          <w:i w:val="0"/>
          <w:caps w:val="0"/>
          <w:color w:val="auto"/>
          <w:spacing w:val="0"/>
          <w:sz w:val="32"/>
          <w:szCs w:val="32"/>
          <w:highlight w:val="none"/>
          <w:lang w:val="en-US" w:eastAsia="zh-CN"/>
        </w:rPr>
        <w:t>4.</w:t>
      </w:r>
      <w:r>
        <w:rPr>
          <w:rFonts w:hint="eastAsia" w:ascii="仿宋_GB2312" w:hAnsi="仿宋_GB2312" w:eastAsia="仿宋_GB2312" w:cs="仿宋_GB2312"/>
          <w:i w:val="0"/>
          <w:caps w:val="0"/>
          <w:color w:val="auto"/>
          <w:spacing w:val="0"/>
          <w:sz w:val="32"/>
          <w:szCs w:val="32"/>
          <w:highlight w:val="none"/>
          <w:lang w:val="en-US" w:eastAsia="zh-CN"/>
        </w:rPr>
        <w:t>积极开展</w:t>
      </w:r>
      <w:r>
        <w:rPr>
          <w:rFonts w:hint="default" w:ascii="仿宋_GB2312" w:hAnsi="仿宋_GB2312" w:eastAsia="仿宋_GB2312" w:cs="仿宋_GB2312"/>
          <w:i w:val="0"/>
          <w:caps w:val="0"/>
          <w:color w:val="auto"/>
          <w:spacing w:val="0"/>
          <w:sz w:val="32"/>
          <w:szCs w:val="32"/>
          <w:highlight w:val="none"/>
          <w:lang w:val="en-US" w:eastAsia="zh-CN"/>
        </w:rPr>
        <w:t>规范性文件清理</w:t>
      </w:r>
      <w:r>
        <w:rPr>
          <w:rFonts w:hint="eastAsia" w:ascii="仿宋_GB2312" w:hAnsi="仿宋_GB2312" w:eastAsia="仿宋_GB2312" w:cs="仿宋_GB2312"/>
          <w:i w:val="0"/>
          <w:caps w:val="0"/>
          <w:color w:val="auto"/>
          <w:spacing w:val="0"/>
          <w:sz w:val="32"/>
          <w:szCs w:val="32"/>
          <w:highlight w:val="none"/>
          <w:lang w:val="en-US" w:eastAsia="zh-CN"/>
        </w:rPr>
        <w:t>，目前</w:t>
      </w:r>
      <w:r>
        <w:rPr>
          <w:rFonts w:hint="default" w:ascii="仿宋_GB2312" w:hAnsi="仿宋_GB2312" w:eastAsia="仿宋_GB2312" w:cs="仿宋_GB2312"/>
          <w:i w:val="0"/>
          <w:caps w:val="0"/>
          <w:color w:val="auto"/>
          <w:spacing w:val="0"/>
          <w:sz w:val="32"/>
          <w:szCs w:val="32"/>
          <w:highlight w:val="none"/>
          <w:lang w:val="en-US" w:eastAsia="zh-CN"/>
        </w:rPr>
        <w:t>保留的行政规范性文件</w:t>
      </w:r>
      <w:r>
        <w:rPr>
          <w:rFonts w:hint="eastAsia" w:ascii="仿宋_GB2312" w:hAnsi="仿宋_GB2312" w:eastAsia="仿宋_GB2312" w:cs="仿宋_GB2312"/>
          <w:i w:val="0"/>
          <w:caps w:val="0"/>
          <w:color w:val="auto"/>
          <w:spacing w:val="0"/>
          <w:sz w:val="32"/>
          <w:szCs w:val="32"/>
          <w:highlight w:val="none"/>
          <w:lang w:val="en-US" w:eastAsia="zh-CN"/>
        </w:rPr>
        <w:t>2件：</w:t>
      </w:r>
      <w:r>
        <w:rPr>
          <w:rFonts w:hint="default" w:ascii="仿宋_GB2312" w:hAnsi="仿宋_GB2312" w:eastAsia="仿宋_GB2312" w:cs="仿宋_GB2312"/>
          <w:i w:val="0"/>
          <w:caps w:val="0"/>
          <w:color w:val="auto"/>
          <w:spacing w:val="0"/>
          <w:sz w:val="32"/>
          <w:szCs w:val="32"/>
          <w:highlight w:val="none"/>
          <w:lang w:val="en-US" w:eastAsia="zh-CN"/>
        </w:rPr>
        <w:t>关于印发樟树市中心城区黑烟车和高排放非道路移动机械禁止使用区划定方案的通知（樟府发〔</w:t>
      </w:r>
      <w:r>
        <w:rPr>
          <w:rFonts w:hint="eastAsia" w:ascii="仿宋_GB2312" w:hAnsi="仿宋_GB2312" w:eastAsia="仿宋_GB2312" w:cs="仿宋_GB2312"/>
          <w:i w:val="0"/>
          <w:caps w:val="0"/>
          <w:color w:val="auto"/>
          <w:spacing w:val="0"/>
          <w:sz w:val="32"/>
          <w:szCs w:val="32"/>
          <w:highlight w:val="none"/>
          <w:lang w:val="en-US" w:eastAsia="zh-CN"/>
        </w:rPr>
        <w:t>2020〕4号）、</w:t>
      </w:r>
      <w:r>
        <w:rPr>
          <w:rFonts w:hint="default" w:ascii="仿宋_GB2312" w:hAnsi="仿宋_GB2312" w:eastAsia="仿宋_GB2312" w:cs="仿宋_GB2312"/>
          <w:i w:val="0"/>
          <w:caps w:val="0"/>
          <w:color w:val="auto"/>
          <w:spacing w:val="0"/>
          <w:sz w:val="32"/>
          <w:szCs w:val="32"/>
          <w:highlight w:val="none"/>
          <w:lang w:val="en-US" w:eastAsia="zh-CN"/>
        </w:rPr>
        <w:t>关于印发樟树市中心城区声环境功能区划分方案的通知（樟府办字〔</w:t>
      </w:r>
      <w:r>
        <w:rPr>
          <w:rFonts w:hint="eastAsia" w:ascii="仿宋_GB2312" w:hAnsi="仿宋_GB2312" w:eastAsia="仿宋_GB2312" w:cs="仿宋_GB2312"/>
          <w:i w:val="0"/>
          <w:caps w:val="0"/>
          <w:color w:val="auto"/>
          <w:spacing w:val="0"/>
          <w:sz w:val="32"/>
          <w:szCs w:val="32"/>
          <w:highlight w:val="none"/>
          <w:lang w:val="en-US" w:eastAsia="zh-CN"/>
        </w:rPr>
        <w:t>2020〕36号）。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1.进一步完善新闻发布工作各项流程，落实重要政府信息及热点问题定期有序发布机制，全年召开了1场新闻发布会。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2.按照政府网站建设指南，进一步提升信息发布平台功能，规范栏目建设，在微信公众号开展了环保设施公众开放活动。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3.持续推进政务新媒体工作，利用双微持续宣传国家生态文明建设理念。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lang w:val="en-US" w:eastAsia="zh-CN"/>
        </w:rPr>
        <w:t>4.</w:t>
      </w:r>
      <w:r>
        <w:rPr>
          <w:rFonts w:hint="eastAsia" w:ascii="仿宋_GB2312" w:hAnsi="仿宋_GB2312" w:eastAsia="仿宋_GB2312" w:cs="仿宋_GB2312"/>
          <w:i w:val="0"/>
          <w:caps w:val="0"/>
          <w:color w:val="auto"/>
          <w:spacing w:val="0"/>
          <w:sz w:val="32"/>
          <w:szCs w:val="32"/>
          <w:highlight w:val="none"/>
          <w:lang w:val="zh-TW" w:eastAsia="zh-TW"/>
        </w:rPr>
        <w:t>加大政务信息公开</w:t>
      </w:r>
      <w:r>
        <w:rPr>
          <w:rFonts w:hint="eastAsia" w:ascii="仿宋_GB2312" w:hAnsi="仿宋_GB2312" w:eastAsia="仿宋_GB2312" w:cs="仿宋_GB2312"/>
          <w:i w:val="0"/>
          <w:caps w:val="0"/>
          <w:color w:val="auto"/>
          <w:spacing w:val="0"/>
          <w:sz w:val="32"/>
          <w:szCs w:val="32"/>
          <w:highlight w:val="none"/>
          <w:lang w:val="zh-TW" w:eastAsia="zh-CN"/>
        </w:rPr>
        <w:t>，</w:t>
      </w:r>
      <w:r>
        <w:rPr>
          <w:rFonts w:hint="eastAsia" w:ascii="仿宋_GB2312" w:hAnsi="仿宋_GB2312" w:eastAsia="仿宋_GB2312" w:cs="仿宋_GB2312"/>
          <w:i w:val="0"/>
          <w:caps w:val="0"/>
          <w:color w:val="auto"/>
          <w:spacing w:val="0"/>
          <w:sz w:val="32"/>
          <w:szCs w:val="32"/>
          <w:highlight w:val="none"/>
          <w:lang w:val="zh-TW" w:eastAsia="zh-TW"/>
        </w:rPr>
        <w:t>持续开展</w:t>
      </w:r>
      <w:r>
        <w:rPr>
          <w:rFonts w:hint="eastAsia" w:ascii="仿宋_GB2312" w:hAnsi="仿宋_GB2312" w:eastAsia="仿宋_GB2312" w:cs="仿宋_GB2312"/>
          <w:i w:val="0"/>
          <w:caps w:val="0"/>
          <w:color w:val="auto"/>
          <w:spacing w:val="0"/>
          <w:sz w:val="32"/>
          <w:szCs w:val="32"/>
          <w:highlight w:val="none"/>
          <w:lang w:val="zh-CN" w:eastAsia="zh-CN"/>
        </w:rPr>
        <w:t>“服</w:t>
      </w:r>
      <w:r>
        <w:rPr>
          <w:rFonts w:hint="eastAsia" w:ascii="仿宋_GB2312" w:hAnsi="仿宋_GB2312" w:eastAsia="仿宋_GB2312" w:cs="仿宋_GB2312"/>
          <w:i w:val="0"/>
          <w:caps w:val="0"/>
          <w:color w:val="auto"/>
          <w:spacing w:val="0"/>
          <w:sz w:val="32"/>
          <w:szCs w:val="32"/>
          <w:highlight w:val="none"/>
          <w:lang w:val="zh-TW" w:eastAsia="zh-TW"/>
        </w:rPr>
        <w:t>务企业接待日”</w:t>
      </w:r>
      <w:r>
        <w:rPr>
          <w:rFonts w:hint="eastAsia" w:ascii="仿宋_GB2312" w:hAnsi="仿宋_GB2312" w:eastAsia="仿宋_GB2312" w:cs="仿宋_GB2312"/>
          <w:i w:val="0"/>
          <w:caps w:val="0"/>
          <w:color w:val="auto"/>
          <w:spacing w:val="0"/>
          <w:sz w:val="32"/>
          <w:szCs w:val="32"/>
          <w:highlight w:val="none"/>
          <w:lang w:val="zh-CN" w:eastAsia="zh-CN"/>
        </w:rPr>
        <w:t>“入</w:t>
      </w:r>
      <w:r>
        <w:rPr>
          <w:rFonts w:hint="eastAsia" w:ascii="仿宋_GB2312" w:hAnsi="仿宋_GB2312" w:eastAsia="仿宋_GB2312" w:cs="仿宋_GB2312"/>
          <w:i w:val="0"/>
          <w:caps w:val="0"/>
          <w:color w:val="auto"/>
          <w:spacing w:val="0"/>
          <w:sz w:val="32"/>
          <w:szCs w:val="32"/>
          <w:highlight w:val="none"/>
          <w:lang w:val="zh-TW" w:eastAsia="zh-TW"/>
        </w:rPr>
        <w:t>企帮扶宣讲”等活</w:t>
      </w:r>
      <w:r>
        <w:rPr>
          <w:rFonts w:hint="eastAsia" w:ascii="仿宋_GB2312" w:hAnsi="仿宋_GB2312" w:eastAsia="仿宋_GB2312" w:cs="仿宋_GB2312"/>
          <w:i w:val="0"/>
          <w:caps w:val="0"/>
          <w:color w:val="auto"/>
          <w:spacing w:val="0"/>
          <w:sz w:val="32"/>
          <w:szCs w:val="32"/>
          <w:highlight w:val="none"/>
          <w:lang w:val="en-US" w:eastAsia="zh-CN"/>
        </w:rPr>
        <w:t>动，全力帮助企业排忧解难，着力解决群众关心的生态环境突出问题。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(五)监督保障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jc w:val="left"/>
        <w:textAlignment w:val="auto"/>
        <w:rPr>
          <w:rFonts w:hint="eastAsia"/>
          <w:color w:val="auto"/>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1.领导重视。成立了由局主要领导任组长、其他班子成员为副组长、各股室负责人为成员的政务公开工作领导小组，由局办公室负责日常统筹指导</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，其他股室、站、大队联动推进。主要领导多次听取政务公开汇报，定期调度听取政务公开工作情况汇报，高位推动政务公开工作。</w:t>
      </w:r>
      <w:r>
        <w:rPr>
          <w:rFonts w:hint="eastAsia" w:ascii="仿宋_GB2312" w:hAnsi="宋体" w:eastAsia="仿宋_GB2312" w:cs="仿宋_GB2312"/>
          <w:i w:val="0"/>
          <w:iCs w:val="0"/>
          <w:caps w:val="0"/>
          <w:color w:val="auto"/>
          <w:spacing w:val="0"/>
          <w:sz w:val="32"/>
          <w:szCs w:val="32"/>
          <w:shd w:val="clear" w:fill="FFFFFF"/>
          <w:lang w:eastAsia="zh-CN"/>
        </w:rPr>
        <w:t>设置</w:t>
      </w:r>
      <w:r>
        <w:rPr>
          <w:rFonts w:hint="eastAsia" w:ascii="仿宋_GB2312" w:hAnsi="宋体" w:eastAsia="仿宋_GB2312" w:cs="仿宋_GB2312"/>
          <w:i w:val="0"/>
          <w:iCs w:val="0"/>
          <w:caps w:val="0"/>
          <w:color w:val="auto"/>
          <w:spacing w:val="0"/>
          <w:sz w:val="32"/>
          <w:szCs w:val="32"/>
          <w:shd w:val="clear" w:fill="FFFFFF"/>
          <w:lang w:val="en-US" w:eastAsia="zh-CN"/>
        </w:rPr>
        <w:t>1名政务公开工作专员，</w:t>
      </w:r>
      <w:r>
        <w:rPr>
          <w:rFonts w:hint="eastAsia" w:ascii="仿宋_GB2312" w:hAnsi="宋体" w:eastAsia="仿宋_GB2312" w:cs="仿宋_GB2312"/>
          <w:i w:val="0"/>
          <w:iCs w:val="0"/>
          <w:caps w:val="0"/>
          <w:color w:val="auto"/>
          <w:spacing w:val="0"/>
          <w:sz w:val="32"/>
          <w:szCs w:val="32"/>
          <w:shd w:val="clear" w:fill="FFFFFF"/>
        </w:rPr>
        <w:t>对单位网站进行监督与维护，确保发布的政务信息准确高效。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jc w:val="left"/>
        <w:textAlignment w:val="auto"/>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2.工作推进。制定《2023年宜春市樟树生态环境局政务公开工作要点》，明确工作目标，落实建设进度调度机制，稳步有序推进政务公开工作。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jc w:val="left"/>
        <w:textAlignment w:val="auto"/>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3.业务培训。全年开展</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了4次业务培训。通过培训凝聚了共识、极大提高了各股室、站、大队政务公开工作人员的业务水平。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jc w:val="left"/>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现行有效件数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66</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25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宋体" w:eastAsia="仿宋"/>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both"/>
              <w:textAlignment w:val="auto"/>
              <w:outlineLvl w:val="9"/>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color w:val="auto"/>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9"/>
        <w:rPr>
          <w:rFonts w:hint="default" w:ascii="仿宋" w:hAnsi="仿宋" w:eastAsia="仿宋_GB2312" w:cs="仿宋"/>
          <w:color w:val="auto"/>
          <w:highlight w:val="cyan"/>
          <w:lang w:val="en-US" w:eastAsia="zh-CN"/>
        </w:rPr>
      </w:pPr>
      <w:r>
        <w:rPr>
          <w:rFonts w:hint="eastAsia" w:ascii="黑体" w:hAnsi="黑体" w:eastAsia="黑体" w:cs="黑体"/>
          <w:color w:val="auto"/>
          <w:spacing w:val="-6"/>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val="en-US" w:eastAsia="zh-CN"/>
        </w:rPr>
        <w:t>五、政府信息公开工作存在的主要问题及改进情况</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default" w:ascii="仿宋_GB2312" w:hAnsi="仿宋_GB2312" w:eastAsia="仿宋_GB2312" w:cs="仿宋_GB2312"/>
          <w:i w:val="0"/>
          <w:caps w:val="0"/>
          <w:color w:val="auto"/>
          <w:spacing w:val="0"/>
          <w:sz w:val="32"/>
          <w:szCs w:val="32"/>
          <w:highlight w:val="none"/>
          <w:lang w:val="zh-TW" w:eastAsia="zh-CN"/>
        </w:rPr>
      </w:pPr>
      <w:r>
        <w:rPr>
          <w:rFonts w:hint="eastAsia" w:ascii="仿宋_GB2312" w:hAnsi="仿宋_GB2312" w:eastAsia="仿宋_GB2312" w:cs="仿宋_GB2312"/>
          <w:i w:val="0"/>
          <w:caps w:val="0"/>
          <w:color w:val="auto"/>
          <w:spacing w:val="0"/>
          <w:sz w:val="32"/>
          <w:szCs w:val="32"/>
          <w:highlight w:val="none"/>
          <w:lang w:val="zh-TW" w:eastAsia="zh-CN"/>
        </w:rPr>
        <w:t>我局政府信息公开工作虽然取得一定成绩，逐步实现常态化、规范化管理，但仍存在一些问题和不足。主要表现在政务信息公开工作人员工作能力有待进一步提高，信息公开质量有待进一步加强。</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default" w:ascii="仿宋_GB2312" w:hAnsi="仿宋_GB2312" w:eastAsia="仿宋_GB2312" w:cs="仿宋_GB2312"/>
          <w:i w:val="0"/>
          <w:caps w:val="0"/>
          <w:color w:val="auto"/>
          <w:spacing w:val="0"/>
          <w:sz w:val="32"/>
          <w:szCs w:val="32"/>
          <w:highlight w:val="none"/>
          <w:lang w:val="zh-TW" w:eastAsia="zh-CN"/>
        </w:rPr>
      </w:pPr>
      <w:r>
        <w:rPr>
          <w:rFonts w:hint="eastAsia" w:ascii="仿宋_GB2312" w:hAnsi="仿宋_GB2312" w:eastAsia="仿宋_GB2312" w:cs="仿宋_GB2312"/>
          <w:i w:val="0"/>
          <w:caps w:val="0"/>
          <w:color w:val="auto"/>
          <w:spacing w:val="0"/>
          <w:sz w:val="32"/>
          <w:szCs w:val="32"/>
          <w:highlight w:val="none"/>
          <w:lang w:val="zh-TW" w:eastAsia="zh-CN"/>
        </w:rPr>
        <w:t>针对信息公开工作存在的问题，一是进一步强化组织领导。明确职责分工，完善工作制度，切实提高信息公开意识，不断创新工作方式方法，突出重点，注重实效。二是进一步加大信息公开工作力度。认真贯彻落实文件精神，提高业务能力，提升更新频率，拓宽信息公开范围，确保动态信息及时、有效、快速地面向社会和百姓公开。三是加强政务信息公开工作人员业务培训，借鉴学习其他兄弟单位好的经验做法，及时总结好的经验做法，不断提高全局政务公开工作质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color w:val="auto"/>
          <w:lang w:val="en-US" w:eastAsia="zh-CN"/>
        </w:rPr>
      </w:pPr>
      <w:r>
        <w:rPr>
          <w:rFonts w:hint="eastAsia" w:ascii="仿宋" w:hAnsi="仿宋" w:eastAsia="仿宋_GB2312" w:cs="仿宋"/>
          <w:color w:val="auto"/>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Mzk5NWIxZDM4ZWFlYTEzODQ2NjJhYmM3ZmRmYjgifQ=="/>
  </w:docVars>
  <w:rsids>
    <w:rsidRoot w:val="105A4352"/>
    <w:rsid w:val="003D13C1"/>
    <w:rsid w:val="07F4584C"/>
    <w:rsid w:val="0BED0BAC"/>
    <w:rsid w:val="0F6054BA"/>
    <w:rsid w:val="105A4352"/>
    <w:rsid w:val="11002822"/>
    <w:rsid w:val="11260F07"/>
    <w:rsid w:val="1BF945D4"/>
    <w:rsid w:val="206207B8"/>
    <w:rsid w:val="22AB4154"/>
    <w:rsid w:val="254F7E52"/>
    <w:rsid w:val="29936F22"/>
    <w:rsid w:val="29A63AF9"/>
    <w:rsid w:val="2C27513E"/>
    <w:rsid w:val="2F960EDF"/>
    <w:rsid w:val="37D50499"/>
    <w:rsid w:val="3A4D6E28"/>
    <w:rsid w:val="3D067FD6"/>
    <w:rsid w:val="4079646E"/>
    <w:rsid w:val="41605AC0"/>
    <w:rsid w:val="4A6C6248"/>
    <w:rsid w:val="4F136D0B"/>
    <w:rsid w:val="51771504"/>
    <w:rsid w:val="53BF3212"/>
    <w:rsid w:val="563D7057"/>
    <w:rsid w:val="56761331"/>
    <w:rsid w:val="575F690E"/>
    <w:rsid w:val="581307D2"/>
    <w:rsid w:val="588E44CE"/>
    <w:rsid w:val="63604736"/>
    <w:rsid w:val="6CD60491"/>
    <w:rsid w:val="6F657FD8"/>
    <w:rsid w:val="6F9150E9"/>
    <w:rsid w:val="71C051BF"/>
    <w:rsid w:val="71C92260"/>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正文文本缩进 31"/>
    <w:basedOn w:val="1"/>
    <w:autoRedefine/>
    <w:qFormat/>
    <w:uiPriority w:val="0"/>
    <w:pPr>
      <w:ind w:left="420" w:leftChars="200"/>
    </w:pPr>
    <w:rPr>
      <w:rFonts w:ascii="Calibri" w:hAnsi="Calibri" w:eastAsia="仿宋"/>
      <w:sz w:val="16"/>
      <w:szCs w:val="16"/>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1</TotalTime>
  <ScaleCrop>false</ScaleCrop>
  <LinksUpToDate>false</LinksUpToDate>
  <CharactersWithSpaces>2807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与子成说。</cp:lastModifiedBy>
  <dcterms:modified xsi:type="dcterms:W3CDTF">2024-03-26T00:48:21Z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31872003FDC146529D4624B149349BF9_12</vt:lpwstr>
  </property>
</Properties>
</file>