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105" w:afterAutospacing="0" w:line="23" w:lineRule="atLeast"/>
        <w:ind w:left="0" w:firstLine="420"/>
        <w:jc w:val="center"/>
        <w:rPr>
          <w:rFonts w:hint="eastAsia" w:ascii="微软雅黑" w:hAnsi="微软雅黑" w:eastAsia="微软雅黑" w:cs="微软雅黑"/>
          <w:sz w:val="44"/>
          <w:szCs w:val="44"/>
        </w:rPr>
      </w:pPr>
      <w:r>
        <w:rPr>
          <w:rStyle w:val="5"/>
          <w:rFonts w:hint="eastAsia" w:ascii="微软雅黑" w:hAnsi="微软雅黑" w:eastAsia="微软雅黑" w:cs="微软雅黑"/>
          <w:sz w:val="44"/>
          <w:szCs w:val="44"/>
        </w:rPr>
        <w:t>樟树市应急管理局2020年政府信息公开工作年度报告</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本报告依据《中华人民共和国政府信息公开条例》（国务院令第711号，以下简称新《条例》）和《国务院办公厅政府信息与政务公开办公室关于政府信息公开工作年度报告有关事项的通知》（国办公开办函〔2019〕60号）要求，由市应急管理局结合有关统计数据编制。本年度报告中所列数据的统计期限自2020年1月1日起至2020年12月31日止。全文包括总体情况、主动公开政府信息情况、收到和处理政府信息公开申请情况、政府信息公开行政复议行政诉讼情况、存在的主要问题及改进情况、其他需要报告的事项。本年度报告的电子版可以从樟树市人民政府网站（http://www.zhangshu.gov.cn/）下载。如对本报告有任何疑问，请与市应急管理局联系（地址：樟树市四特大道288号，电话：7364506，邮编：331200）</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一、总体情况</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市应急管理局坚持以习近平新时代中国特色社会主义思想为指导，深入贯彻党的十九大和十九届二中、三中、四中、五中全会精神，严格落实《国务院办公厅印发〈关于全面推进政务公开工作的意见〉实施细则的通知》（国办发〔2016〕80号）和《国务院办公厅关于印发2020年政务公开工作要点的通知》（国办发〔2020〕17号）的要求。同时积极对《宜春市政府信息公开条例》明确目标任务，紧紧围绕市委、市政府中心工作及社会群众关注关切，着力提升政府信息公开质量，推进拓宽政府信息公开渠道，不断增强政府信息公开实效，在重点领域信息公开、重要政策解读、回应社会关切等各方面不断完善，不断拓展政府信息公开内容，确保政务公开工作扎实推进，以进一步减少事故总量、有效防范和坚决遏制重特大事故为工作目标，大力推进行政权力公开透明运行，扎实抓好政府信息公开各项工作的落实，有效保障人民群众的知情权。主要工作有：</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 </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（一）主动公开</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r>
        <w:rPr>
          <w:rStyle w:val="5"/>
          <w:rFonts w:hint="eastAsia" w:ascii="仿宋_GB2312" w:hAnsi="仿宋_GB2312" w:eastAsia="仿宋_GB2312" w:cs="仿宋_GB2312"/>
          <w:sz w:val="28"/>
          <w:szCs w:val="28"/>
        </w:rPr>
        <w:t>决策公开</w:t>
      </w:r>
      <w:r>
        <w:rPr>
          <w:rFonts w:hint="eastAsia" w:ascii="仿宋_GB2312" w:hAnsi="仿宋_GB2312" w:eastAsia="仿宋_GB2312" w:cs="仿宋_GB2312"/>
          <w:sz w:val="28"/>
          <w:szCs w:val="28"/>
        </w:rPr>
        <w:t>：建立“意见征集”、“意见采纳”信箱，涉及公共利益和公众权益的重大事项，主动向社会公布决策草案、决策依据等，广泛听取公众意见，征集意见的主要观点、采纳意见数量、未采纳意见理由等情况均向社会主动公开。</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Style w:val="5"/>
          <w:rFonts w:hint="eastAsia" w:ascii="仿宋_GB2312" w:hAnsi="仿宋_GB2312" w:eastAsia="仿宋_GB2312" w:cs="仿宋_GB2312"/>
          <w:sz w:val="28"/>
          <w:szCs w:val="28"/>
        </w:rPr>
        <w:t>管理公开</w:t>
      </w:r>
      <w:r>
        <w:rPr>
          <w:rFonts w:hint="eastAsia" w:ascii="仿宋_GB2312" w:hAnsi="仿宋_GB2312" w:eastAsia="仿宋_GB2312" w:cs="仿宋_GB2312"/>
          <w:sz w:val="28"/>
          <w:szCs w:val="28"/>
        </w:rPr>
        <w:t>：权责清单、清单动态调整公开机制、行政执法公示制度、监管情况。</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3.  </w:t>
      </w:r>
      <w:r>
        <w:rPr>
          <w:rStyle w:val="5"/>
          <w:rFonts w:hint="eastAsia" w:ascii="仿宋_GB2312" w:hAnsi="仿宋_GB2312" w:eastAsia="仿宋_GB2312" w:cs="仿宋_GB2312"/>
          <w:sz w:val="28"/>
          <w:szCs w:val="28"/>
        </w:rPr>
        <w:t>服务公开</w:t>
      </w:r>
      <w:r>
        <w:rPr>
          <w:rFonts w:hint="eastAsia" w:ascii="仿宋_GB2312" w:hAnsi="仿宋_GB2312" w:eastAsia="仿宋_GB2312" w:cs="仿宋_GB2312"/>
          <w:sz w:val="28"/>
          <w:szCs w:val="28"/>
        </w:rPr>
        <w:t>：公共服务事项清单协调一致、动态管理，与市政府网站实行同源管理、同源发布，确保事项完整、政策文件依据简要、重点要素类别齐全、办理材料格式要求明确、内容表述清楚准确。</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Style w:val="5"/>
          <w:rFonts w:hint="eastAsia" w:ascii="仿宋_GB2312" w:hAnsi="仿宋_GB2312" w:eastAsia="仿宋_GB2312" w:cs="仿宋_GB2312"/>
          <w:sz w:val="28"/>
          <w:szCs w:val="28"/>
        </w:rPr>
        <w:t>结果公开</w:t>
      </w:r>
      <w:r>
        <w:rPr>
          <w:rFonts w:hint="eastAsia" w:ascii="仿宋_GB2312" w:hAnsi="仿宋_GB2312" w:eastAsia="仿宋_GB2312" w:cs="仿宋_GB2312"/>
          <w:sz w:val="28"/>
          <w:szCs w:val="28"/>
        </w:rPr>
        <w:t>：建立重大决策及重要政策落实情况、发展规划及工作报告、决定事项落实、重大决策跟踪反馈和评估制度。</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（二）执行公开：重点领域信息公开、财政预决算、公共资源配置。</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（三）依申请公开</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1.  重视依申请公开工作：配备了1名专职信息员，按规定进行信息公开。</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2.  受理情况分析：无</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（四）政府信息管理：一是加强政府信息公开属性源头管理和网站信息发布审核。二是根据实际情况动态调整更新政 府信息公开指南和政府信息主动公开全清单。三是强化规范性文件动态管理机制，对废止和失效规范性文件及时清理，并通过网站向社会公开。</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（五）平台建设</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1.  </w:t>
      </w:r>
      <w:r>
        <w:rPr>
          <w:rStyle w:val="5"/>
          <w:rFonts w:hint="eastAsia" w:ascii="仿宋_GB2312" w:hAnsi="仿宋_GB2312" w:eastAsia="仿宋_GB2312" w:cs="仿宋_GB2312"/>
          <w:sz w:val="28"/>
          <w:szCs w:val="28"/>
        </w:rPr>
        <w:t>政府门户网站第一平台作用</w:t>
      </w:r>
      <w:r>
        <w:rPr>
          <w:rFonts w:hint="eastAsia" w:ascii="仿宋_GB2312" w:hAnsi="仿宋_GB2312" w:eastAsia="仿宋_GB2312" w:cs="仿宋_GB2312"/>
          <w:sz w:val="28"/>
          <w:szCs w:val="28"/>
        </w:rPr>
        <w:t>：开设安全生产专项整治三年行动、减灾救灾、安全生产专栏。</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2.  </w:t>
      </w:r>
      <w:r>
        <w:rPr>
          <w:rStyle w:val="5"/>
          <w:rFonts w:hint="eastAsia" w:ascii="仿宋_GB2312" w:hAnsi="仿宋_GB2312" w:eastAsia="仿宋_GB2312" w:cs="仿宋_GB2312"/>
          <w:sz w:val="28"/>
          <w:szCs w:val="28"/>
        </w:rPr>
        <w:t>公开方式多样化</w:t>
      </w:r>
      <w:r>
        <w:rPr>
          <w:rFonts w:hint="eastAsia" w:ascii="仿宋_GB2312" w:hAnsi="仿宋_GB2312" w:eastAsia="仿宋_GB2312" w:cs="仿宋_GB2312"/>
          <w:sz w:val="28"/>
          <w:szCs w:val="28"/>
        </w:rPr>
        <w:t>：暂未开通政务新媒体、手机APP、两微一端。</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3.  </w:t>
      </w:r>
      <w:r>
        <w:rPr>
          <w:rStyle w:val="5"/>
          <w:rFonts w:hint="eastAsia" w:ascii="仿宋_GB2312" w:hAnsi="仿宋_GB2312" w:eastAsia="仿宋_GB2312" w:cs="仿宋_GB2312"/>
          <w:sz w:val="28"/>
          <w:szCs w:val="28"/>
        </w:rPr>
        <w:t>网站集约化</w:t>
      </w:r>
      <w:r>
        <w:rPr>
          <w:rFonts w:hint="eastAsia" w:ascii="仿宋_GB2312" w:hAnsi="仿宋_GB2312" w:eastAsia="仿宋_GB2312" w:cs="仿宋_GB2312"/>
          <w:sz w:val="28"/>
          <w:szCs w:val="28"/>
        </w:rPr>
        <w:t>：无</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4.  </w:t>
      </w:r>
      <w:r>
        <w:rPr>
          <w:rStyle w:val="5"/>
          <w:rFonts w:hint="eastAsia" w:ascii="仿宋_GB2312" w:hAnsi="仿宋_GB2312" w:eastAsia="仿宋_GB2312" w:cs="仿宋_GB2312"/>
          <w:sz w:val="28"/>
          <w:szCs w:val="28"/>
        </w:rPr>
        <w:t>网站监管</w:t>
      </w:r>
      <w:r>
        <w:rPr>
          <w:rFonts w:hint="eastAsia" w:ascii="仿宋_GB2312" w:hAnsi="仿宋_GB2312" w:eastAsia="仿宋_GB2312" w:cs="仿宋_GB2312"/>
          <w:sz w:val="28"/>
          <w:szCs w:val="28"/>
        </w:rPr>
        <w:t>：严格实行加强组织领导，一把手负总责，分管领导具体抓，并配备了1名专职信息员及1名兼职信息员，统一指导、协调、推进政府信息公开工作，建立健全政府信息公开工作组织体系，为政府信息公开工作顺利开展提供组织保障。</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r>
        <w:rPr>
          <w:rStyle w:val="5"/>
          <w:rFonts w:hint="eastAsia" w:ascii="仿宋_GB2312" w:hAnsi="仿宋_GB2312" w:eastAsia="仿宋_GB2312" w:cs="仿宋_GB2312"/>
          <w:sz w:val="28"/>
          <w:szCs w:val="28"/>
        </w:rPr>
        <w:t>监督保障</w:t>
      </w:r>
      <w:r>
        <w:rPr>
          <w:rFonts w:hint="eastAsia" w:ascii="仿宋_GB2312" w:hAnsi="仿宋_GB2312" w:eastAsia="仿宋_GB2312" w:cs="仿宋_GB2312"/>
          <w:sz w:val="28"/>
          <w:szCs w:val="28"/>
        </w:rPr>
        <w:t>：建立健全政府信息公开工作考核制度，定期对政府信息公开工作进行考核，将政务公开工作纳入年度绩效考核当中。完善社会评议制度和责任追究制度，欢迎群众对政府信息公开工作进行评议监督，强化责任追究，保障人民群众的监督权。</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二、主动公开政府信息情况</w:t>
      </w:r>
    </w:p>
    <w:tbl>
      <w:tblPr>
        <w:tblStyle w:val="3"/>
        <w:tblW w:w="8514" w:type="dxa"/>
        <w:jc w:val="center"/>
        <w:tblLayout w:type="fixed"/>
        <w:tblCellMar>
          <w:top w:w="0" w:type="dxa"/>
          <w:left w:w="0" w:type="dxa"/>
          <w:bottom w:w="0" w:type="dxa"/>
          <w:right w:w="0" w:type="dxa"/>
        </w:tblCellMar>
      </w:tblPr>
      <w:tblGrid>
        <w:gridCol w:w="3113"/>
        <w:gridCol w:w="1875"/>
        <w:gridCol w:w="6"/>
        <w:gridCol w:w="1512"/>
        <w:gridCol w:w="2008"/>
      </w:tblGrid>
      <w:tr>
        <w:tblPrEx>
          <w:tblCellMar>
            <w:top w:w="0" w:type="dxa"/>
            <w:left w:w="0" w:type="dxa"/>
            <w:bottom w:w="0" w:type="dxa"/>
            <w:right w:w="0" w:type="dxa"/>
          </w:tblCellMar>
        </w:tblPrEx>
        <w:trPr>
          <w:trHeight w:val="495" w:hRule="atLeast"/>
          <w:jc w:val="center"/>
        </w:trPr>
        <w:tc>
          <w:tcPr>
            <w:tcW w:w="8514" w:type="dxa"/>
            <w:gridSpan w:val="5"/>
            <w:tcBorders>
              <w:top w:val="single" w:color="auto" w:sz="8" w:space="0"/>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第二十条第（一）项</w:t>
            </w:r>
          </w:p>
        </w:tc>
      </w:tr>
      <w:tr>
        <w:tblPrEx>
          <w:tblCellMar>
            <w:top w:w="0" w:type="dxa"/>
            <w:left w:w="0" w:type="dxa"/>
            <w:bottom w:w="0" w:type="dxa"/>
            <w:right w:w="0" w:type="dxa"/>
          </w:tblCellMar>
        </w:tblPrEx>
        <w:trPr>
          <w:trHeight w:val="101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本年新</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kern w:val="0"/>
                <w:sz w:val="28"/>
                <w:szCs w:val="28"/>
              </w:rPr>
              <w:t>制作数量</w:t>
            </w:r>
          </w:p>
        </w:tc>
        <w:tc>
          <w:tcPr>
            <w:tcW w:w="15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本年新</w:t>
            </w:r>
            <w:r>
              <w:rPr>
                <w:rFonts w:hint="eastAsia" w:ascii="仿宋_GB2312" w:hAnsi="仿宋_GB2312" w:eastAsia="仿宋_GB2312" w:cs="仿宋_GB2312"/>
                <w:color w:val="000000"/>
                <w:kern w:val="0"/>
                <w:sz w:val="28"/>
                <w:szCs w:val="28"/>
              </w:rPr>
              <w:br w:type="textWrapping"/>
            </w:r>
            <w:r>
              <w:rPr>
                <w:rFonts w:hint="eastAsia" w:ascii="仿宋_GB2312" w:hAnsi="仿宋_GB2312" w:eastAsia="仿宋_GB2312" w:cs="仿宋_GB2312"/>
                <w:kern w:val="0"/>
                <w:sz w:val="28"/>
                <w:szCs w:val="28"/>
              </w:rPr>
              <w:t>公开数量</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规章</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0</w:t>
            </w:r>
          </w:p>
        </w:tc>
        <w:tc>
          <w:tcPr>
            <w:tcW w:w="15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0</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规范性文件</w:t>
            </w:r>
          </w:p>
        </w:tc>
        <w:tc>
          <w:tcPr>
            <w:tcW w:w="187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rPr>
              <w:t>个</w:t>
            </w:r>
          </w:p>
        </w:tc>
        <w:tc>
          <w:tcPr>
            <w:tcW w:w="1518"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lang w:val="en-US" w:eastAsia="zh-CN"/>
              </w:rPr>
              <w:t>10</w:t>
            </w:r>
            <w:r>
              <w:rPr>
                <w:rFonts w:hint="eastAsia" w:ascii="仿宋_GB2312" w:hAnsi="仿宋_GB2312" w:eastAsia="仿宋_GB2312" w:cs="仿宋_GB2312"/>
                <w:color w:val="000000"/>
                <w:kern w:val="0"/>
                <w:sz w:val="28"/>
                <w:szCs w:val="28"/>
              </w:rPr>
              <w:t>个</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lang w:val="en-US" w:eastAsia="zh-CN"/>
              </w:rPr>
              <w:t>24</w:t>
            </w:r>
            <w:r>
              <w:rPr>
                <w:rFonts w:hint="eastAsia" w:ascii="仿宋_GB2312" w:hAnsi="仿宋_GB2312" w:eastAsia="仿宋_GB2312" w:cs="仿宋_GB2312"/>
                <w:color w:val="000000"/>
                <w:kern w:val="0"/>
                <w:sz w:val="28"/>
                <w:szCs w:val="28"/>
              </w:rPr>
              <w:t>个</w:t>
            </w:r>
          </w:p>
        </w:tc>
      </w:tr>
      <w:tr>
        <w:tblPrEx>
          <w:tblCellMar>
            <w:top w:w="0" w:type="dxa"/>
            <w:left w:w="0" w:type="dxa"/>
            <w:bottom w:w="0" w:type="dxa"/>
            <w:right w:w="0" w:type="dxa"/>
          </w:tblCellMar>
        </w:tblPrEx>
        <w:trPr>
          <w:trHeight w:val="480" w:hRule="atLeast"/>
          <w:jc w:val="center"/>
        </w:trPr>
        <w:tc>
          <w:tcPr>
            <w:tcW w:w="8514"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上一年项目数量</w:t>
            </w:r>
          </w:p>
        </w:tc>
        <w:tc>
          <w:tcPr>
            <w:tcW w:w="15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本年增/减</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行政许可</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15</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83</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ind w:firstLine="840" w:firstLineChars="300"/>
              <w:jc w:val="both"/>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0</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其他对外管理服务事项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0</w:t>
            </w:r>
          </w:p>
        </w:tc>
      </w:tr>
      <w:tr>
        <w:tblPrEx>
          <w:tblCellMar>
            <w:top w:w="0" w:type="dxa"/>
            <w:left w:w="0" w:type="dxa"/>
            <w:bottom w:w="0" w:type="dxa"/>
            <w:right w:w="0" w:type="dxa"/>
          </w:tblCellMar>
        </w:tblPrEx>
        <w:trPr>
          <w:trHeight w:val="406" w:hRule="atLeast"/>
          <w:jc w:val="center"/>
        </w:trPr>
        <w:tc>
          <w:tcPr>
            <w:tcW w:w="8514"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信息内容</w:t>
            </w:r>
          </w:p>
        </w:tc>
        <w:tc>
          <w:tcPr>
            <w:tcW w:w="187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上一年项目数量</w:t>
            </w:r>
          </w:p>
        </w:tc>
        <w:tc>
          <w:tcPr>
            <w:tcW w:w="1518"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本年增/减</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行政处罚</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7</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5</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5</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行政强制</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w:t>
            </w:r>
          </w:p>
        </w:tc>
        <w:tc>
          <w:tcPr>
            <w:tcW w:w="1512"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000000"/>
                <w:kern w:val="0"/>
                <w:sz w:val="28"/>
                <w:szCs w:val="28"/>
                <w:lang w:val="en-US" w:eastAsia="zh-CN"/>
              </w:rPr>
            </w:pPr>
            <w:r>
              <w:rPr>
                <w:rFonts w:hint="eastAsia" w:ascii="仿宋_GB2312" w:hAnsi="仿宋_GB2312" w:eastAsia="仿宋_GB2312" w:cs="仿宋_GB2312"/>
                <w:color w:val="000000"/>
                <w:kern w:val="0"/>
                <w:sz w:val="28"/>
                <w:szCs w:val="28"/>
                <w:lang w:val="en-US" w:eastAsia="zh-CN"/>
              </w:rPr>
              <w:t>0</w:t>
            </w:r>
          </w:p>
        </w:tc>
        <w:tc>
          <w:tcPr>
            <w:tcW w:w="200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0</w:t>
            </w:r>
          </w:p>
        </w:tc>
      </w:tr>
      <w:tr>
        <w:tblPrEx>
          <w:tblCellMar>
            <w:top w:w="0" w:type="dxa"/>
            <w:left w:w="0" w:type="dxa"/>
            <w:bottom w:w="0" w:type="dxa"/>
            <w:right w:w="0" w:type="dxa"/>
          </w:tblCellMar>
        </w:tblPrEx>
        <w:trPr>
          <w:trHeight w:val="474" w:hRule="atLeast"/>
          <w:jc w:val="center"/>
        </w:trPr>
        <w:tc>
          <w:tcPr>
            <w:tcW w:w="8514"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上一年项目数量</w:t>
            </w:r>
          </w:p>
        </w:tc>
        <w:tc>
          <w:tcPr>
            <w:tcW w:w="352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行政事业性收费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color w:val="0000FF"/>
                <w:kern w:val="0"/>
                <w:sz w:val="28"/>
                <w:szCs w:val="28"/>
                <w:lang w:val="en-US" w:eastAsia="zh-CN"/>
              </w:rPr>
            </w:pPr>
            <w:r>
              <w:rPr>
                <w:rFonts w:hint="eastAsia" w:ascii="仿宋_GB2312" w:hAnsi="仿宋_GB2312" w:eastAsia="仿宋_GB2312" w:cs="仿宋_GB2312"/>
                <w:color w:val="0000FF"/>
                <w:kern w:val="0"/>
                <w:sz w:val="28"/>
                <w:szCs w:val="28"/>
                <w:lang w:val="en-US" w:eastAsia="zh-CN"/>
              </w:rPr>
              <w:t>0</w:t>
            </w:r>
          </w:p>
        </w:tc>
        <w:tc>
          <w:tcPr>
            <w:tcW w:w="35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FF"/>
                <w:kern w:val="0"/>
                <w:sz w:val="28"/>
                <w:szCs w:val="28"/>
                <w:lang w:eastAsia="zh-CN"/>
              </w:rPr>
            </w:pPr>
            <w:r>
              <w:rPr>
                <w:rFonts w:hint="eastAsia" w:ascii="仿宋_GB2312" w:hAnsi="仿宋_GB2312" w:eastAsia="仿宋_GB2312" w:cs="仿宋_GB2312"/>
                <w:color w:val="000000"/>
                <w:kern w:val="0"/>
                <w:sz w:val="28"/>
                <w:szCs w:val="28"/>
                <w:lang w:val="en-US" w:eastAsia="zh-CN"/>
              </w:rPr>
              <w:t>0</w:t>
            </w:r>
          </w:p>
        </w:tc>
      </w:tr>
      <w:tr>
        <w:tblPrEx>
          <w:tblCellMar>
            <w:top w:w="0" w:type="dxa"/>
            <w:left w:w="0" w:type="dxa"/>
            <w:bottom w:w="0" w:type="dxa"/>
            <w:right w:w="0" w:type="dxa"/>
          </w:tblCellMar>
        </w:tblPrEx>
        <w:trPr>
          <w:trHeight w:val="476" w:hRule="atLeast"/>
          <w:jc w:val="center"/>
        </w:trPr>
        <w:tc>
          <w:tcPr>
            <w:tcW w:w="8514" w:type="dxa"/>
            <w:gridSpan w:val="5"/>
            <w:tcBorders>
              <w:top w:val="nil"/>
              <w:left w:val="single" w:color="auto" w:sz="8" w:space="0"/>
              <w:bottom w:val="single" w:color="auto" w:sz="8" w:space="0"/>
              <w:right w:val="single" w:color="auto" w:sz="8" w:space="0"/>
            </w:tcBorders>
            <w:shd w:val="clear" w:color="auto" w:fill="C6D9F1"/>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信息内容</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采购项目数量</w:t>
            </w:r>
          </w:p>
        </w:tc>
        <w:tc>
          <w:tcPr>
            <w:tcW w:w="3520" w:type="dxa"/>
            <w:gridSpan w:val="2"/>
            <w:tcBorders>
              <w:top w:val="single" w:color="auto" w:sz="8" w:space="0"/>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政府集中采购</w:t>
            </w:r>
          </w:p>
        </w:tc>
        <w:tc>
          <w:tcPr>
            <w:tcW w:w="188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FF"/>
                <w:kern w:val="0"/>
                <w:sz w:val="28"/>
                <w:szCs w:val="28"/>
                <w:lang w:val="en-US" w:eastAsia="zh-CN"/>
              </w:rPr>
            </w:pPr>
            <w:r>
              <w:rPr>
                <w:rFonts w:hint="eastAsia" w:ascii="仿宋_GB2312" w:hAnsi="仿宋_GB2312" w:eastAsia="仿宋_GB2312" w:cs="仿宋_GB2312"/>
                <w:color w:val="0000FF"/>
                <w:kern w:val="0"/>
                <w:sz w:val="28"/>
                <w:szCs w:val="28"/>
                <w:lang w:val="en-US" w:eastAsia="zh-CN"/>
              </w:rPr>
              <w:t>0</w:t>
            </w:r>
          </w:p>
        </w:tc>
        <w:tc>
          <w:tcPr>
            <w:tcW w:w="3520" w:type="dxa"/>
            <w:gridSpan w:val="2"/>
            <w:tcBorders>
              <w:top w:val="nil"/>
              <w:left w:val="nil"/>
              <w:bottom w:val="single" w:color="auto" w:sz="8" w:space="0"/>
              <w:right w:val="single" w:color="000000"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color w:val="0000FF"/>
                <w:kern w:val="0"/>
                <w:sz w:val="28"/>
                <w:szCs w:val="28"/>
                <w:lang w:val="en-US" w:eastAsia="zh-CN"/>
              </w:rPr>
            </w:pPr>
            <w:r>
              <w:rPr>
                <w:rFonts w:hint="eastAsia" w:ascii="仿宋_GB2312" w:hAnsi="仿宋_GB2312" w:eastAsia="仿宋_GB2312" w:cs="仿宋_GB2312"/>
                <w:color w:val="0000FF"/>
                <w:kern w:val="0"/>
                <w:sz w:val="28"/>
                <w:szCs w:val="28"/>
                <w:lang w:val="en-US" w:eastAsia="zh-CN"/>
              </w:rPr>
              <w:t>0</w:t>
            </w:r>
            <w:bookmarkStart w:id="0" w:name="_GoBack"/>
            <w:bookmarkEnd w:id="0"/>
          </w:p>
        </w:tc>
      </w:tr>
    </w:tbl>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三、收到和处理政府信息公开申请情况</w:t>
      </w:r>
    </w:p>
    <w:tbl>
      <w:tblPr>
        <w:tblStyle w:val="3"/>
        <w:tblW w:w="9071" w:type="dxa"/>
        <w:jc w:val="center"/>
        <w:tblLayout w:type="fixed"/>
        <w:tblCellMar>
          <w:top w:w="0" w:type="dxa"/>
          <w:left w:w="0" w:type="dxa"/>
          <w:bottom w:w="0" w:type="dxa"/>
          <w:right w:w="0" w:type="dxa"/>
        </w:tblCellMar>
      </w:tblPr>
      <w:tblGrid>
        <w:gridCol w:w="617"/>
        <w:gridCol w:w="854"/>
        <w:gridCol w:w="2086"/>
        <w:gridCol w:w="813"/>
        <w:gridCol w:w="755"/>
        <w:gridCol w:w="755"/>
        <w:gridCol w:w="813"/>
        <w:gridCol w:w="973"/>
        <w:gridCol w:w="711"/>
        <w:gridCol w:w="694"/>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申请人情况</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总计</w:t>
            </w:r>
          </w:p>
        </w:tc>
      </w:tr>
      <w:tr>
        <w:tblPrEx>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13"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w:t>
            </w:r>
          </w:p>
        </w:tc>
        <w:tc>
          <w:tcPr>
            <w:tcW w:w="69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85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bidi="ar-SA"/>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0</w:t>
            </w:r>
          </w:p>
        </w:tc>
      </w:tr>
    </w:tbl>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   </w:t>
      </w:r>
    </w:p>
    <w:p>
      <w:pPr>
        <w:pStyle w:val="2"/>
        <w:keepNext w:val="0"/>
        <w:keepLines w:val="0"/>
        <w:widowControl/>
        <w:numPr>
          <w:ilvl w:val="0"/>
          <w:numId w:val="1"/>
        </w:numPr>
        <w:suppressLineNumbers w:val="0"/>
        <w:spacing w:before="0" w:beforeAutospacing="0" w:after="105" w:afterAutospacing="0" w:line="23" w:lineRule="atLeast"/>
        <w:ind w:left="0" w:firstLine="420"/>
        <w:jc w:val="both"/>
        <w:rPr>
          <w:rStyle w:val="5"/>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政府信息公开行政复议、行政诉讼情况</w:t>
      </w:r>
    </w:p>
    <w:p>
      <w:pPr>
        <w:pStyle w:val="2"/>
        <w:keepNext w:val="0"/>
        <w:keepLines w:val="0"/>
        <w:widowControl/>
        <w:numPr>
          <w:ilvl w:val="0"/>
          <w:numId w:val="0"/>
        </w:numPr>
        <w:suppressLineNumbers w:val="0"/>
        <w:spacing w:before="0" w:beforeAutospacing="0" w:after="105" w:afterAutospacing="0" w:line="23" w:lineRule="atLeast"/>
        <w:ind w:right="0" w:rightChars="0"/>
        <w:jc w:val="both"/>
        <w:rPr>
          <w:rStyle w:val="5"/>
          <w:rFonts w:hint="eastAsia" w:ascii="仿宋_GB2312" w:hAnsi="仿宋_GB2312" w:eastAsia="仿宋_GB2312" w:cs="仿宋_GB2312"/>
          <w:sz w:val="28"/>
          <w:szCs w:val="28"/>
        </w:rPr>
      </w:pPr>
    </w:p>
    <w:tbl>
      <w:tblPr>
        <w:tblStyle w:val="3"/>
        <w:tblW w:w="9071" w:type="dxa"/>
        <w:jc w:val="center"/>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复议后起诉</w:t>
            </w:r>
          </w:p>
        </w:tc>
      </w:tr>
      <w:tr>
        <w:tblPrEx>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p>
        </w:tc>
        <w:tc>
          <w:tcPr>
            <w:tcW w:w="604" w:type="dxa"/>
            <w:vMerge w:val="continue"/>
            <w:tcBorders>
              <w:top w:val="nil"/>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p>
        </w:tc>
        <w:tc>
          <w:tcPr>
            <w:tcW w:w="604"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p>
        </w:tc>
        <w:tc>
          <w:tcPr>
            <w:tcW w:w="658" w:type="dxa"/>
            <w:vMerge w:val="continue"/>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总计</w:t>
            </w:r>
          </w:p>
        </w:tc>
      </w:tr>
      <w:tr>
        <w:tblPrEx>
          <w:tblCellMar>
            <w:top w:w="0" w:type="dxa"/>
            <w:left w:w="0" w:type="dxa"/>
            <w:bottom w:w="0" w:type="dxa"/>
            <w:right w:w="0" w:type="dxa"/>
          </w:tblCellMar>
        </w:tblPrEx>
        <w:trPr>
          <w:trHeight w:val="410" w:hRule="atLeast"/>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 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color w:val="000000"/>
                <w:kern w:val="0"/>
                <w:sz w:val="28"/>
                <w:szCs w:val="28"/>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0</w:t>
            </w:r>
          </w:p>
        </w:tc>
      </w:tr>
    </w:tbl>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五、存在的主要问题及改进情况</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（一）工作中存在的主要问题</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1.对政府信息公开的认识还有待深入，少数科室和少数干部对政务信息公开的重要意义认识不足，主动性有待提高。</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2.是主动公开信息内容不够全面、质量还不够高，关于政策法规、政策解读类信息数量偏少。</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（二）具体的改进措施</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1.加强学习，提高认识。要着眼于落实工作重点，进一步加强对国家政府信息公开条例的学习和贯彻落实，推进我局政府信息公开工作。</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强化监督考核，将信息公开工作纳入到考核，强化考核问责效果，加大信息公开力度，对大众关心的安全生产热点问题及时发布相关信息，扩大公开的范围、领域和程度；二是积极探索政府信息公开工作的新思路、新方式，提高政府信息公开工作的水平。</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Style w:val="5"/>
          <w:rFonts w:hint="eastAsia" w:ascii="仿宋_GB2312" w:hAnsi="仿宋_GB2312" w:eastAsia="仿宋_GB2312" w:cs="仿宋_GB2312"/>
          <w:sz w:val="28"/>
          <w:szCs w:val="28"/>
        </w:rPr>
        <w:t>六、其他需要报告的事项</w:t>
      </w:r>
    </w:p>
    <w:p>
      <w:pPr>
        <w:pStyle w:val="2"/>
        <w:keepNext w:val="0"/>
        <w:keepLines w:val="0"/>
        <w:widowControl/>
        <w:suppressLineNumbers w:val="0"/>
        <w:spacing w:before="0" w:beforeAutospacing="0" w:after="105" w:afterAutospacing="0" w:line="23" w:lineRule="atLeast"/>
        <w:ind w:left="0" w:firstLine="420"/>
        <w:jc w:val="both"/>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2020年度，本机关无收取信息处理费情况。</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A03B41"/>
    <w:multiLevelType w:val="singleLevel"/>
    <w:tmpl w:val="93A03B4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yNjU5ODhiNGFhYTdlYTdjM2E3MmQ0MzM4ZTI1ZDUifQ=="/>
  </w:docVars>
  <w:rsids>
    <w:rsidRoot w:val="19FD646B"/>
    <w:rsid w:val="09F0159A"/>
    <w:rsid w:val="13151E20"/>
    <w:rsid w:val="19FD646B"/>
    <w:rsid w:val="5FED41D0"/>
    <w:rsid w:val="6FD25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2687</Words>
  <Characters>2812</Characters>
  <Lines>0</Lines>
  <Paragraphs>0</Paragraphs>
  <TotalTime>6</TotalTime>
  <ScaleCrop>false</ScaleCrop>
  <LinksUpToDate>false</LinksUpToDate>
  <CharactersWithSpaces>2825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2023-01-20T06:47:00Z</dcterms:created>
  <dc:creator>WPS_1592379446</dc:creator>
  <cp:lastModifiedBy>WPS_1592379446</cp:lastModifiedBy>
  <dcterms:modified xsi:type="dcterms:W3CDTF">2023-01-20T07:33:57Z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5923CBCB69A941C4A5BA553CABCAB4E2</vt:lpwstr>
  </property>
</Properties>
</file>