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樟树市公安局2023年政府信息公开工作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spacing w:line="560" w:lineRule="exact"/>
        <w:ind w:firstLine="632" w:firstLineChars="200"/>
        <w:rPr>
          <w:rFonts w:ascii="仿宋_GB2312" w:eastAsia="仿宋_GB2312"/>
        </w:rPr>
      </w:pPr>
      <w:r>
        <w:rPr>
          <w:rFonts w:hint="eastAsia" w:ascii="仿宋_GB2312" w:eastAsia="仿宋_GB2312"/>
        </w:rPr>
        <w:t>本报告依据《中华人民共和国政府信息公开条例》（国务院令第711号，以下简称新《条例》）和</w:t>
      </w:r>
      <w:r>
        <w:rPr>
          <w:rFonts w:hint="eastAsia"/>
        </w:rPr>
        <w:t>《国务院办公厅政府信息与政务公开办公室关于</w:t>
      </w:r>
      <w:r>
        <w:rPr>
          <w:rFonts w:hint="eastAsia"/>
          <w:lang w:eastAsia="zh-CN"/>
        </w:rPr>
        <w:t>印发&lt;中华人民共和国政府信息公开工作年度报告格式&gt;的通知》</w:t>
      </w:r>
      <w:r>
        <w:rPr>
          <w:rFonts w:hint="eastAsia"/>
        </w:rPr>
        <w:t>（国办公开办函〔20</w:t>
      </w:r>
      <w:r>
        <w:rPr>
          <w:rFonts w:hint="eastAsia"/>
          <w:lang w:val="en-US" w:eastAsia="zh-CN"/>
        </w:rPr>
        <w:t>21</w:t>
      </w:r>
      <w:r>
        <w:rPr>
          <w:rFonts w:hint="eastAsia"/>
        </w:rPr>
        <w:t>〕</w:t>
      </w:r>
      <w:r>
        <w:rPr>
          <w:rFonts w:hint="eastAsia"/>
          <w:lang w:val="en-US" w:eastAsia="zh-CN"/>
        </w:rPr>
        <w:t>30</w:t>
      </w:r>
      <w:r>
        <w:rPr>
          <w:rFonts w:hint="eastAsia"/>
        </w:rPr>
        <w:t>号）</w:t>
      </w:r>
      <w:r>
        <w:rPr>
          <w:rFonts w:hint="eastAsia"/>
          <w:lang w:eastAsia="zh-CN"/>
        </w:rPr>
        <w:t>要求</w:t>
      </w:r>
      <w:bookmarkStart w:id="0" w:name="_GoBack"/>
      <w:bookmarkEnd w:id="0"/>
      <w:r>
        <w:rPr>
          <w:rFonts w:hint="eastAsia" w:ascii="仿宋_GB2312" w:eastAsia="仿宋_GB2312"/>
        </w:rPr>
        <w:t>，由樟树市公安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公安局联系（地址：盐城南大道11号，电话：0795-7324009，邮编：331200）。</w:t>
      </w:r>
    </w:p>
    <w:p>
      <w:pPr>
        <w:spacing w:line="560" w:lineRule="exact"/>
        <w:ind w:firstLine="632" w:firstLineChars="200"/>
        <w:rPr>
          <w:rFonts w:ascii="黑体" w:hAnsi="黑体" w:eastAsia="黑体"/>
        </w:rPr>
      </w:pPr>
      <w:r>
        <w:rPr>
          <w:rFonts w:hint="eastAsia" w:ascii="黑体" w:hAnsi="黑体" w:eastAsia="黑体"/>
        </w:rPr>
        <w:t>一、总体情况</w:t>
      </w:r>
    </w:p>
    <w:p>
      <w:pPr>
        <w:spacing w:line="560" w:lineRule="exact"/>
        <w:ind w:firstLine="632" w:firstLineChars="200"/>
        <w:rPr>
          <w:rFonts w:ascii="仿宋_GB2312" w:eastAsia="仿宋_GB2312"/>
        </w:rPr>
      </w:pPr>
      <w:r>
        <w:rPr>
          <w:rFonts w:hint="eastAsia" w:ascii="仿宋_GB2312" w:eastAsia="仿宋_GB2312"/>
        </w:rPr>
        <w:t>2023年，樟树市公安局在樟树市委、市政府和上级公安机关坚强领导下，全市公安机关始终坚持以习近平新时代中国特色社会主义思想为指导，严格落实《条例》和《江西省人民政府政务公开办公室关于印发2023年江西省政务公开工作要点的通知》（赣府公开办字〔2023〕2号）的要求，对照《樟树市人民政府办公室关于印发2023年樟树市政务公开工作要点的通知》（樟府办字〔2023〕28号）逐一落实，每周更新信息，持续深化主动公开，积极回应群众关切，组织开展“固定开放月”活动，扩大政务开放参与，不断推动政务公开工作走深、走细、走实，并取得积极成效。</w:t>
      </w:r>
    </w:p>
    <w:p>
      <w:pPr>
        <w:spacing w:line="560" w:lineRule="exact"/>
        <w:ind w:firstLine="632" w:firstLineChars="200"/>
        <w:rPr>
          <w:rFonts w:ascii="楷体_GB2312" w:eastAsia="楷体_GB2312"/>
        </w:rPr>
      </w:pPr>
      <w:r>
        <w:rPr>
          <w:rFonts w:hint="eastAsia" w:ascii="楷体_GB2312" w:eastAsia="楷体_GB2312"/>
        </w:rPr>
        <w:t>(一)主动公开</w:t>
      </w:r>
    </w:p>
    <w:p>
      <w:pPr>
        <w:spacing w:line="560" w:lineRule="exact"/>
        <w:ind w:firstLine="632" w:firstLineChars="200"/>
        <w:rPr>
          <w:rFonts w:ascii="仿宋_GB2312" w:eastAsia="仿宋_GB2312"/>
        </w:rPr>
      </w:pPr>
      <w:r>
        <w:rPr>
          <w:rFonts w:hint="eastAsia" w:ascii="仿宋_GB2312" w:eastAsia="仿宋_GB2312"/>
        </w:rPr>
        <w:t>樟树市公安局高度重视政务公开标准化规范化工作，明确分管领导，具体工作由办公室负责，并落实具办人员，确保全面推进政务决策公开、执行公开、管理公开、服务公开、结果公开。2023年，市局主动公开各类信息103条，其中公开指南1条、政府工作年度报告1条、工作动态53条、政府文件2条、其他有关文件5条、政策解读7条、发展规划1条、专项规划2条、行政执法12条、机构职能3条、部门预决算2条、人大建议1条、政协提案1条、治安管理12条。</w:t>
      </w:r>
    </w:p>
    <w:p>
      <w:pPr>
        <w:spacing w:line="560" w:lineRule="exact"/>
        <w:ind w:firstLine="632" w:firstLineChars="200"/>
        <w:rPr>
          <w:rFonts w:ascii="楷体_GB2312" w:eastAsia="楷体_GB2312"/>
        </w:rPr>
      </w:pPr>
      <w:r>
        <w:rPr>
          <w:rFonts w:hint="eastAsia" w:ascii="楷体_GB2312" w:eastAsia="楷体_GB2312"/>
        </w:rPr>
        <w:t>(二)依申请公开</w:t>
      </w:r>
    </w:p>
    <w:p>
      <w:pPr>
        <w:spacing w:line="560" w:lineRule="exact"/>
        <w:ind w:firstLine="632" w:firstLineChars="200"/>
        <w:rPr>
          <w:rFonts w:ascii="仿宋_GB2312" w:eastAsia="仿宋_GB2312"/>
        </w:rPr>
      </w:pPr>
      <w:r>
        <w:rPr>
          <w:rFonts w:hint="eastAsia" w:ascii="仿宋_GB2312" w:eastAsia="仿宋_GB2312"/>
        </w:rPr>
        <w:t>2023年，我局未收到政府信息公开申请，未发生政府信息公开收费情况，未发生因政府信息公开申请行政复议、提起行政诉讼的情况。</w:t>
      </w:r>
    </w:p>
    <w:p>
      <w:pPr>
        <w:spacing w:line="560" w:lineRule="exact"/>
        <w:ind w:firstLine="632" w:firstLineChars="200"/>
        <w:rPr>
          <w:rFonts w:ascii="楷体_GB2312" w:eastAsia="楷体_GB2312"/>
        </w:rPr>
      </w:pPr>
      <w:r>
        <w:rPr>
          <w:rFonts w:hint="eastAsia" w:ascii="楷体_GB2312" w:eastAsia="楷体_GB2312"/>
        </w:rPr>
        <w:t>（三）政府信息管理</w:t>
      </w:r>
    </w:p>
    <w:p>
      <w:pPr>
        <w:spacing w:line="560" w:lineRule="exact"/>
        <w:ind w:firstLine="632" w:firstLineChars="200"/>
        <w:rPr>
          <w:rFonts w:ascii="仿宋_GB2312" w:eastAsia="仿宋_GB2312"/>
        </w:rPr>
      </w:pPr>
      <w:r>
        <w:rPr>
          <w:rFonts w:hint="eastAsia" w:ascii="仿宋_GB2312" w:eastAsia="仿宋_GB2312"/>
        </w:rPr>
        <w:t>坚持信息常态化公开，发布部门预算、决算，及时调整市局领导班子成员信息，更新了公开指南及机构职能及相关社会关心和关注的信息，有效保证了群众的知情权。同时，规范信息审核发布程序，严格执行信息发布审核及新媒体“三审三校”，做好规范性文件清理，提高了政务公开工作规范化标准化水平。</w:t>
      </w:r>
    </w:p>
    <w:p>
      <w:pPr>
        <w:spacing w:line="560" w:lineRule="exact"/>
        <w:ind w:firstLine="632" w:firstLineChars="200"/>
        <w:rPr>
          <w:rFonts w:ascii="楷体_GB2312" w:eastAsia="楷体_GB2312"/>
        </w:rPr>
      </w:pPr>
      <w:r>
        <w:rPr>
          <w:rFonts w:hint="eastAsia" w:ascii="楷体_GB2312" w:eastAsia="楷体_GB2312"/>
        </w:rPr>
        <w:t>（四）政府信息公开平台建设</w:t>
      </w:r>
    </w:p>
    <w:p>
      <w:pPr>
        <w:spacing w:line="560" w:lineRule="exact"/>
        <w:ind w:firstLine="632" w:firstLineChars="200"/>
        <w:rPr>
          <w:rFonts w:ascii="仿宋_GB2312" w:eastAsia="仿宋_GB2312"/>
        </w:rPr>
      </w:pPr>
      <w:r>
        <w:rPr>
          <w:rFonts w:hint="eastAsia" w:ascii="仿宋_GB2312" w:eastAsia="仿宋_GB2312"/>
        </w:rPr>
        <w:t>积极做好政府信息公开日常管理工作，做到每周更新信息，根据市政府查网巡视机制，及时解决错链、失链、错敏词等问题，推进政务公开工作。</w:t>
      </w:r>
    </w:p>
    <w:p>
      <w:pPr>
        <w:spacing w:line="560" w:lineRule="exact"/>
        <w:ind w:firstLine="632" w:firstLineChars="200"/>
        <w:rPr>
          <w:rFonts w:ascii="楷体_GB2312" w:eastAsia="楷体_GB2312"/>
        </w:rPr>
      </w:pPr>
      <w:r>
        <w:rPr>
          <w:rFonts w:hint="eastAsia" w:ascii="楷体_GB2312" w:eastAsia="楷体_GB2312"/>
        </w:rPr>
        <w:t>（五）监督保障</w:t>
      </w:r>
    </w:p>
    <w:p>
      <w:pPr>
        <w:spacing w:line="560" w:lineRule="exact"/>
        <w:ind w:firstLine="632" w:firstLineChars="200"/>
        <w:rPr>
          <w:rFonts w:ascii="仿宋_GB2312" w:eastAsia="仿宋_GB2312"/>
        </w:rPr>
      </w:pPr>
      <w:r>
        <w:rPr>
          <w:rFonts w:hint="eastAsia" w:ascii="仿宋_GB2312" w:eastAsia="仿宋_GB2312"/>
        </w:rPr>
        <w:t>一是强化组织保障，形成分管领导牵头抓、负责单位具体抓、具办人员全面落实的工作格局，积极参加市政府组织的业务培训，提高政务信息公开工作能力，确保政务公开各项工作落到实处。二是主动收集群众意见，通过举办警营开放日、警企座谈会等方式，让群众“零距离”接触和了解公安工作，解决企业实际困难及问题3个，发放30份表格，回收30份，均非常满意，政务公开工作取得实效。</w:t>
      </w:r>
    </w:p>
    <w:p>
      <w:pPr>
        <w:spacing w:beforeLines="30" w:afterLines="20"/>
        <w:ind w:firstLine="632" w:firstLineChars="200"/>
        <w:rPr>
          <w:rFonts w:ascii="黑体" w:hAnsi="黑体" w:eastAsia="黑体" w:cs="黑体"/>
        </w:rPr>
      </w:pPr>
      <w:r>
        <w:rPr>
          <w:rFonts w:hint="eastAsia" w:ascii="黑体" w:hAnsi="黑体" w:eastAsia="黑体" w:cs="黑体"/>
        </w:rPr>
        <w:t>二、行政机关主动公开政府信息情况</w:t>
      </w:r>
    </w:p>
    <w:tbl>
      <w:tblPr>
        <w:tblStyle w:val="5"/>
        <w:tblW w:w="9039" w:type="dxa"/>
        <w:jc w:val="center"/>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rPr>
                <w:rFonts w:ascii="Calibri" w:hAnsi="Calibri" w:cs="Calibri"/>
                <w:kern w:val="0"/>
                <w:sz w:val="21"/>
                <w:szCs w:val="21"/>
              </w:rPr>
            </w:pPr>
            <w:r>
              <w:rPr>
                <w:rFonts w:hint="eastAsia" w:ascii="Calibri" w:hAnsi="Calibri" w:cs="Calibri"/>
                <w:kern w:val="0"/>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rPr>
                <w:rFonts w:ascii="Calibri" w:hAnsi="Calibri" w:cs="Calibri"/>
                <w:kern w:val="0"/>
                <w:sz w:val="21"/>
                <w:szCs w:val="21"/>
              </w:rPr>
            </w:pPr>
            <w:r>
              <w:rPr>
                <w:rFonts w:hint="eastAsia" w:ascii="Calibri" w:hAnsi="Calibri" w:cs="Calibri"/>
                <w:kern w:val="0"/>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rPr>
                <w:rFonts w:ascii="Calibri" w:hAnsi="Calibri" w:cs="Calibri"/>
                <w:kern w:val="0"/>
                <w:sz w:val="21"/>
                <w:szCs w:val="21"/>
              </w:rPr>
            </w:pPr>
            <w:r>
              <w:rPr>
                <w:rFonts w:hint="eastAsia" w:ascii="Calibri" w:hAnsi="Calibri" w:cs="Calibri"/>
                <w:kern w:val="0"/>
                <w:sz w:val="21"/>
                <w:szCs w:val="21"/>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rPr>
                <w:rFonts w:ascii="Calibri" w:hAnsi="Calibri" w:cs="Calibri"/>
                <w:kern w:val="0"/>
                <w:sz w:val="21"/>
                <w:szCs w:val="21"/>
              </w:rPr>
            </w:pPr>
            <w:r>
              <w:rPr>
                <w:rFonts w:hint="eastAsia" w:ascii="Calibri" w:hAnsi="Calibri" w:cs="Calibri"/>
                <w:kern w:val="0"/>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rPr>
                <w:rFonts w:ascii="Calibri" w:hAnsi="Calibri" w:cs="Calibri"/>
                <w:kern w:val="0"/>
                <w:sz w:val="21"/>
                <w:szCs w:val="21"/>
              </w:rPr>
            </w:pPr>
            <w:r>
              <w:rPr>
                <w:rFonts w:hint="eastAsia" w:ascii="Calibri" w:hAnsi="Calibri" w:cs="Calibri"/>
                <w:kern w:val="0"/>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rPr>
                <w:rFonts w:hint="eastAsia" w:ascii="Calibri" w:hAnsi="Calibri" w:eastAsia="仿宋" w:cs="Calibri"/>
                <w:kern w:val="0"/>
                <w:sz w:val="21"/>
                <w:szCs w:val="21"/>
                <w:lang w:eastAsia="zh-CN"/>
              </w:rPr>
            </w:pPr>
            <w:r>
              <w:rPr>
                <w:rFonts w:hint="eastAsia" w:ascii="Calibri" w:hAnsi="Calibri" w:cs="Calibri"/>
                <w:kern w:val="0"/>
                <w:sz w:val="21"/>
                <w:szCs w:val="21"/>
                <w:lang w:val="en-US" w:eastAsia="zh-CN"/>
              </w:rPr>
              <w:t>4</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pPr>
            <w:r>
              <w:rPr>
                <w:rFonts w:hint="eastAsia" w:ascii="Calibri" w:hAnsi="Calibri" w:cs="Calibri"/>
                <w:kern w:val="0"/>
                <w:sz w:val="21"/>
                <w:szCs w:val="21"/>
              </w:rPr>
              <w:t>107</w:t>
            </w:r>
            <w:r>
              <w:rPr>
                <w:rFonts w:ascii="Calibri" w:hAnsi="Calibri" w:cs="Calibri"/>
                <w:kern w:val="0"/>
                <w:sz w:val="21"/>
                <w:szCs w:val="21"/>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pPr>
            <w:r>
              <w:rPr>
                <w:rFonts w:hint="eastAsia" w:ascii="Calibri" w:hAnsi="Calibri" w:cs="Calibri"/>
                <w:kern w:val="0"/>
                <w:sz w:val="21"/>
                <w:szCs w:val="21"/>
              </w:rPr>
              <w:t>1798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412"/>
              <w:jc w:val="center"/>
            </w:pPr>
            <w:r>
              <w:rPr>
                <w:rFonts w:hint="eastAsia" w:ascii="Calibri" w:hAnsi="Calibri" w:cs="Calibri"/>
                <w:kern w:val="0"/>
                <w:sz w:val="21"/>
                <w:szCs w:val="21"/>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ind w:firstLine="392"/>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ind w:firstLine="412"/>
              <w:jc w:val="center"/>
              <w:rPr>
                <w:rFonts w:ascii="宋体"/>
                <w:sz w:val="24"/>
                <w:szCs w:val="24"/>
              </w:rPr>
            </w:pPr>
            <w:r>
              <w:rPr>
                <w:rFonts w:hint="eastAsia" w:ascii="Calibri" w:hAnsi="Calibri" w:cs="Calibri"/>
                <w:kern w:val="0"/>
                <w:sz w:val="21"/>
                <w:szCs w:val="21"/>
              </w:rPr>
              <w:t>2.63</w:t>
            </w:r>
          </w:p>
        </w:tc>
      </w:tr>
    </w:tbl>
    <w:p>
      <w:pPr>
        <w:spacing w:beforeLines="30" w:afterLines="20"/>
        <w:ind w:firstLine="632" w:firstLineChars="200"/>
        <w:rPr>
          <w:rFonts w:ascii="黑体" w:hAnsi="黑体" w:eastAsia="黑体" w:cs="黑体"/>
        </w:rPr>
      </w:pPr>
      <w:r>
        <w:rPr>
          <w:rFonts w:hint="eastAsia" w:ascii="黑体" w:hAnsi="黑体" w:eastAsia="黑体" w:cs="黑体"/>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300" w:lineRule="exact"/>
              <w:ind w:firstLine="392"/>
              <w:jc w:val="left"/>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300" w:lineRule="exact"/>
              <w:ind w:firstLine="472"/>
              <w:rPr>
                <w:rFonts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300" w:lineRule="exact"/>
              <w:ind w:firstLine="472"/>
              <w:rPr>
                <w:rFonts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商业</w:t>
            </w:r>
          </w:p>
          <w:p>
            <w:pPr>
              <w:widowControl/>
              <w:spacing w:line="300" w:lineRule="exact"/>
              <w:ind w:firstLine="392"/>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科研</w:t>
            </w:r>
          </w:p>
          <w:p>
            <w:pPr>
              <w:widowControl/>
              <w:spacing w:line="300" w:lineRule="exact"/>
              <w:ind w:firstLine="392"/>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center"/>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392"/>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300" w:lineRule="exact"/>
              <w:ind w:firstLine="472"/>
              <w:rPr>
                <w:rFonts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300" w:lineRule="exact"/>
              <w:ind w:firstLine="392"/>
              <w:jc w:val="left"/>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00" w:lineRule="exact"/>
              <w:ind w:firstLine="432"/>
              <w:jc w:val="center"/>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0</w:t>
            </w:r>
          </w:p>
        </w:tc>
      </w:tr>
    </w:tbl>
    <w:p>
      <w:pPr>
        <w:ind w:firstLine="608"/>
        <w:rPr>
          <w:rFonts w:ascii="仿宋" w:hAnsi="仿宋" w:eastAsia="仿宋_GB2312" w:cs="仿宋"/>
          <w:highlight w:val="cyan"/>
        </w:rPr>
      </w:pPr>
      <w:r>
        <w:rPr>
          <w:rFonts w:hint="eastAsia" w:ascii="黑体" w:hAnsi="黑体" w:eastAsia="黑体" w:cs="黑体"/>
          <w:spacing w:val="-6"/>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3095" w:type="dxa"/>
            <w:gridSpan w:val="5"/>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行政复议</w:t>
            </w:r>
          </w:p>
        </w:tc>
        <w:tc>
          <w:tcPr>
            <w:tcW w:w="6193" w:type="dxa"/>
            <w:gridSpan w:val="10"/>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restart"/>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19" w:type="dxa"/>
            <w:vMerge w:val="restart"/>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19" w:type="dxa"/>
            <w:vMerge w:val="restart"/>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19" w:type="dxa"/>
            <w:vMerge w:val="restart"/>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19" w:type="dxa"/>
            <w:vMerge w:val="restart"/>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3095" w:type="dxa"/>
            <w:gridSpan w:val="5"/>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未经复议直接起诉</w:t>
            </w:r>
          </w:p>
        </w:tc>
        <w:tc>
          <w:tcPr>
            <w:tcW w:w="3098" w:type="dxa"/>
            <w:gridSpan w:val="5"/>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continue"/>
            <w:vAlign w:val="center"/>
          </w:tcPr>
          <w:p>
            <w:pPr>
              <w:ind w:firstLine="392"/>
              <w:jc w:val="center"/>
              <w:rPr>
                <w:rFonts w:ascii="宋体" w:hAnsi="宋体" w:eastAsia="宋体" w:cs="宋体"/>
                <w:kern w:val="0"/>
                <w:sz w:val="20"/>
                <w:szCs w:val="20"/>
              </w:rPr>
            </w:pPr>
          </w:p>
        </w:tc>
        <w:tc>
          <w:tcPr>
            <w:tcW w:w="619" w:type="dxa"/>
            <w:vMerge w:val="continue"/>
            <w:vAlign w:val="center"/>
          </w:tcPr>
          <w:p>
            <w:pPr>
              <w:ind w:firstLine="392"/>
              <w:jc w:val="center"/>
              <w:rPr>
                <w:rFonts w:ascii="宋体" w:hAnsi="宋体" w:eastAsia="宋体" w:cs="宋体"/>
                <w:kern w:val="0"/>
                <w:sz w:val="20"/>
                <w:szCs w:val="20"/>
              </w:rPr>
            </w:pPr>
          </w:p>
        </w:tc>
        <w:tc>
          <w:tcPr>
            <w:tcW w:w="619" w:type="dxa"/>
            <w:vMerge w:val="continue"/>
            <w:vAlign w:val="center"/>
          </w:tcPr>
          <w:p>
            <w:pPr>
              <w:ind w:firstLine="392"/>
              <w:jc w:val="center"/>
              <w:rPr>
                <w:rFonts w:ascii="宋体" w:hAnsi="宋体" w:eastAsia="宋体" w:cs="宋体"/>
                <w:kern w:val="0"/>
                <w:sz w:val="20"/>
                <w:szCs w:val="20"/>
              </w:rPr>
            </w:pPr>
          </w:p>
        </w:tc>
        <w:tc>
          <w:tcPr>
            <w:tcW w:w="619" w:type="dxa"/>
            <w:vMerge w:val="continue"/>
            <w:vAlign w:val="center"/>
          </w:tcPr>
          <w:p>
            <w:pPr>
              <w:ind w:firstLine="392"/>
              <w:jc w:val="center"/>
              <w:rPr>
                <w:rFonts w:ascii="宋体" w:hAnsi="宋体" w:eastAsia="宋体" w:cs="宋体"/>
                <w:kern w:val="0"/>
                <w:sz w:val="20"/>
                <w:szCs w:val="20"/>
              </w:rPr>
            </w:pPr>
          </w:p>
        </w:tc>
        <w:tc>
          <w:tcPr>
            <w:tcW w:w="619" w:type="dxa"/>
            <w:vMerge w:val="continue"/>
            <w:vAlign w:val="center"/>
          </w:tcPr>
          <w:p>
            <w:pPr>
              <w:ind w:firstLine="392"/>
              <w:jc w:val="center"/>
              <w:rPr>
                <w:rFonts w:ascii="宋体" w:hAnsi="宋体" w:eastAsia="宋体" w:cs="宋体"/>
                <w:kern w:val="0"/>
                <w:sz w:val="20"/>
                <w:szCs w:val="20"/>
              </w:rPr>
            </w:pPr>
          </w:p>
        </w:tc>
        <w:tc>
          <w:tcPr>
            <w:tcW w:w="619"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19"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19"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19"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19"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619"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19"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20"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20"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20" w:type="dxa"/>
            <w:vAlign w:val="center"/>
          </w:tcPr>
          <w:p>
            <w:pPr>
              <w:widowControl/>
              <w:spacing w:line="300" w:lineRule="exact"/>
              <w:ind w:firstLine="392"/>
              <w:jc w:val="center"/>
              <w:rPr>
                <w:rFonts w:ascii="宋体" w:hAnsi="宋体" w:eastAsia="宋体" w:cs="宋体"/>
                <w:kern w:val="0"/>
                <w:sz w:val="20"/>
                <w:szCs w:val="20"/>
              </w:rPr>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19"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20"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20"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20" w:type="dxa"/>
            <w:vAlign w:val="center"/>
          </w:tcPr>
          <w:p>
            <w:pPr>
              <w:ind w:firstLine="392"/>
              <w:jc w:val="center"/>
              <w:rPr>
                <w:rFonts w:ascii="宋体" w:hAnsi="宋体" w:eastAsia="宋体" w:cs="宋体"/>
                <w:kern w:val="0"/>
                <w:sz w:val="20"/>
                <w:szCs w:val="20"/>
              </w:rPr>
            </w:pPr>
            <w:r>
              <w:rPr>
                <w:rFonts w:hint="eastAsia" w:ascii="宋体" w:hAnsi="宋体" w:eastAsia="宋体" w:cs="宋体"/>
                <w:kern w:val="0"/>
                <w:sz w:val="20"/>
                <w:szCs w:val="20"/>
              </w:rPr>
              <w:t>0</w:t>
            </w:r>
          </w:p>
        </w:tc>
      </w:tr>
    </w:tbl>
    <w:p>
      <w:pPr>
        <w:spacing w:line="560" w:lineRule="exact"/>
        <w:ind w:firstLine="632" w:firstLineChars="200"/>
        <w:rPr>
          <w:rFonts w:ascii="黑体" w:hAnsi="黑体" w:eastAsia="黑体"/>
        </w:rPr>
      </w:pPr>
      <w:r>
        <w:rPr>
          <w:rFonts w:hint="eastAsia" w:ascii="黑体" w:hAnsi="黑体" w:eastAsia="黑体"/>
        </w:rPr>
        <w:t>五、政府信息公开工作存在的主要问题及改进情况</w:t>
      </w:r>
    </w:p>
    <w:p>
      <w:pPr>
        <w:spacing w:line="560" w:lineRule="exact"/>
        <w:ind w:firstLine="632" w:firstLineChars="200"/>
        <w:rPr>
          <w:rFonts w:ascii="仿宋_GB2312" w:eastAsia="仿宋_GB2312"/>
        </w:rPr>
      </w:pPr>
      <w:r>
        <w:rPr>
          <w:rFonts w:hint="eastAsia" w:ascii="仿宋_GB2312" w:eastAsia="仿宋_GB2312"/>
        </w:rPr>
        <w:t>存在的问题：政府信息公开的内容不够丰富，信息公开的便民性和实用性有待提高。</w:t>
      </w:r>
    </w:p>
    <w:p>
      <w:pPr>
        <w:spacing w:line="560" w:lineRule="exact"/>
        <w:ind w:firstLine="632" w:firstLineChars="200"/>
        <w:rPr>
          <w:rFonts w:ascii="仿宋_GB2312" w:eastAsia="仿宋_GB2312"/>
        </w:rPr>
      </w:pPr>
      <w:r>
        <w:rPr>
          <w:rFonts w:hint="eastAsia" w:ascii="仿宋_GB2312" w:eastAsia="仿宋_GB2312"/>
        </w:rPr>
        <w:t>改进举措：一是加快信息更新频率，拓宽公开渠道，丰富公开形式，为群众提供更加方便快捷的信息公开服务。二是通过培训，提升工作人员的专业化水平、业务素质和能力，增强处理信息能力。三是加强政务公开信息维护，形成定期自查机制，及时开展自查发现问题，自我检查。对上级巡查发现的问题，及时进行更改，并按时反馈。</w:t>
      </w:r>
    </w:p>
    <w:p>
      <w:pPr>
        <w:spacing w:line="560" w:lineRule="exact"/>
        <w:ind w:firstLine="632" w:firstLineChars="200"/>
        <w:rPr>
          <w:rFonts w:ascii="黑体" w:hAnsi="黑体" w:eastAsia="黑体"/>
        </w:rPr>
      </w:pPr>
      <w:r>
        <w:rPr>
          <w:rFonts w:hint="eastAsia" w:ascii="黑体" w:hAnsi="黑体" w:eastAsia="黑体"/>
        </w:rPr>
        <w:t>六、其他需要报告的事项</w:t>
      </w:r>
    </w:p>
    <w:p>
      <w:pPr>
        <w:spacing w:line="560" w:lineRule="exact"/>
        <w:ind w:firstLine="632" w:firstLineChars="200"/>
        <w:rPr>
          <w:rFonts w:ascii="仿宋_GB2312" w:eastAsia="仿宋_GB2312"/>
        </w:rPr>
      </w:pPr>
      <w:r>
        <w:rPr>
          <w:rFonts w:hint="eastAsia" w:ascii="仿宋_GB2312" w:eastAsia="仿宋_GB2312"/>
        </w:rPr>
        <w:t>按照《国务院办公厅关于印发〈政府信息公开信息处理费管理办法〉的通知》（国办函〔2020〕109号）规定的按件、按量收费标准，2023年没有产生信息公开处理费。</w:t>
      </w:r>
    </w:p>
    <w:p>
      <w:pPr>
        <w:spacing w:beforeLines="30" w:afterLines="20"/>
        <w:ind w:firstLine="632" w:firstLineChars="200"/>
        <w:rPr>
          <w:rFonts w:ascii="仿宋" w:hAnsi="仿宋" w:eastAsia="仿宋_GB2312" w:cs="仿宋"/>
        </w:rPr>
      </w:pPr>
    </w:p>
    <w:sectPr>
      <w:footerReference r:id="rId3" w:type="default"/>
      <w:pgSz w:w="11906" w:h="16838"/>
      <w:pgMar w:top="1417" w:right="1417" w:bottom="1417" w:left="1417" w:header="907" w:footer="90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ind w:firstLine="560"/>
      <w:jc w:val="center"/>
      <w:rPr>
        <w:rFonts w:ascii="宋体" w:hAnsi="宋体" w:eastAsia="宋体" w:cs="宋体"/>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p>
  <w:p>
    <w:pPr>
      <w:spacing w:before="120"/>
      <w:ind w:firstLine="640"/>
    </w:pPr>
  </w:p>
  <w:p>
    <w:pPr>
      <w:spacing w:before="120"/>
      <w:ind w:firstLine="640"/>
    </w:pPr>
  </w:p>
  <w:p>
    <w:pPr>
      <w:spacing w:before="120"/>
      <w:ind w:firstLine="640"/>
    </w:pPr>
  </w:p>
  <w:p>
    <w:pPr>
      <w:spacing w:before="120"/>
      <w:ind w:firstLine="64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58"/>
  <w:drawingGridVerticalSpacing w:val="29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JiN2QwOTE1NGFlYTgwMTBlZjE1YWI2ZmFlYmI5YTAifQ=="/>
  </w:docVars>
  <w:rsids>
    <w:rsidRoot w:val="105A4352"/>
    <w:rsid w:val="00143696"/>
    <w:rsid w:val="002C3C41"/>
    <w:rsid w:val="00302731"/>
    <w:rsid w:val="003216D1"/>
    <w:rsid w:val="00364577"/>
    <w:rsid w:val="003D13C1"/>
    <w:rsid w:val="003F5495"/>
    <w:rsid w:val="00580579"/>
    <w:rsid w:val="00740EA7"/>
    <w:rsid w:val="008F08C1"/>
    <w:rsid w:val="009E574C"/>
    <w:rsid w:val="00A029F9"/>
    <w:rsid w:val="00A71F37"/>
    <w:rsid w:val="00BD2A66"/>
    <w:rsid w:val="00C66D5D"/>
    <w:rsid w:val="00D02237"/>
    <w:rsid w:val="00D42572"/>
    <w:rsid w:val="00EF4AA8"/>
    <w:rsid w:val="07C02047"/>
    <w:rsid w:val="07F4584C"/>
    <w:rsid w:val="08940B2F"/>
    <w:rsid w:val="098117D1"/>
    <w:rsid w:val="0BED0BAC"/>
    <w:rsid w:val="0CAD4984"/>
    <w:rsid w:val="0F6054BA"/>
    <w:rsid w:val="105A4352"/>
    <w:rsid w:val="11002822"/>
    <w:rsid w:val="11260F07"/>
    <w:rsid w:val="1BF945D4"/>
    <w:rsid w:val="1C913B5A"/>
    <w:rsid w:val="206207B8"/>
    <w:rsid w:val="22AB4154"/>
    <w:rsid w:val="254F7E52"/>
    <w:rsid w:val="25A1616E"/>
    <w:rsid w:val="297A5253"/>
    <w:rsid w:val="29936F22"/>
    <w:rsid w:val="29A63AF9"/>
    <w:rsid w:val="2C27513E"/>
    <w:rsid w:val="2DC1415A"/>
    <w:rsid w:val="2F960EDF"/>
    <w:rsid w:val="37D50499"/>
    <w:rsid w:val="3A4D6E28"/>
    <w:rsid w:val="3D067FD6"/>
    <w:rsid w:val="3F635140"/>
    <w:rsid w:val="3FA742FB"/>
    <w:rsid w:val="4079646E"/>
    <w:rsid w:val="40AF442B"/>
    <w:rsid w:val="41605AC0"/>
    <w:rsid w:val="42CA6D3E"/>
    <w:rsid w:val="432804C5"/>
    <w:rsid w:val="43EE7018"/>
    <w:rsid w:val="46915372"/>
    <w:rsid w:val="4A6C6248"/>
    <w:rsid w:val="4F136D0B"/>
    <w:rsid w:val="4F1F09CE"/>
    <w:rsid w:val="51771504"/>
    <w:rsid w:val="519D5BDA"/>
    <w:rsid w:val="53BF3212"/>
    <w:rsid w:val="56761331"/>
    <w:rsid w:val="575F690E"/>
    <w:rsid w:val="5FA171DD"/>
    <w:rsid w:val="63604736"/>
    <w:rsid w:val="65841133"/>
    <w:rsid w:val="6CD60491"/>
    <w:rsid w:val="6F657FD8"/>
    <w:rsid w:val="6F9150E9"/>
    <w:rsid w:val="71C051BF"/>
    <w:rsid w:val="72A42E14"/>
    <w:rsid w:val="74643AF6"/>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spacing w:beforeAutospacing="1" w:afterAutospacing="1"/>
      <w:jc w:val="left"/>
    </w:pPr>
    <w:rPr>
      <w:rFonts w:cs="Times New Roman"/>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256D32-FEB6-4970-B909-406DFF403423}">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448</Words>
  <Characters>2560</Characters>
  <Lines>21</Lines>
  <Paragraphs>6</Paragraphs>
  <TotalTime>1</TotalTime>
  <ScaleCrop>false</ScaleCrop>
  <LinksUpToDate>false</LinksUpToDate>
  <CharactersWithSpaces>3002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2024-01-12T09:30:00Z</dcterms:created>
  <dc:creator>Administrator</dc:creator>
  <cp:lastModifiedBy>Administrator</cp:lastModifiedBy>
  <dcterms:modified xsi:type="dcterms:W3CDTF">2024-03-25T09:55:54Z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7738575B4CCC43CB8126AC8F12274582_13</vt:lpwstr>
  </property>
</Properties>
</file>