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105" w:afterAutospacing="0" w:line="240" w:lineRule="atLeast"/>
        <w:ind w:left="0" w:right="0" w:firstLine="420"/>
        <w:jc w:val="center"/>
        <w:rPr>
          <w:rFonts w:ascii="微软雅黑" w:hAnsi="微软雅黑" w:eastAsia="微软雅黑" w:cs="微软雅黑"/>
          <w:kern w:val="0"/>
          <w:sz w:val="28"/>
          <w:szCs w:val="28"/>
        </w:rPr>
      </w:pPr>
      <w:r>
        <w:rPr>
          <w:rFonts w:hint="eastAsia" w:ascii="微软雅黑" w:hAnsi="微软雅黑" w:eastAsia="微软雅黑" w:cs="微软雅黑"/>
          <w:kern w:val="0"/>
          <w:sz w:val="28"/>
          <w:szCs w:val="28"/>
        </w:rPr>
        <w:t>樟树市永泰镇2020年政</w:t>
      </w:r>
      <w:bookmarkStart w:id="0" w:name="_GoBack"/>
      <w:bookmarkEnd w:id="0"/>
      <w:r>
        <w:rPr>
          <w:rFonts w:hint="eastAsia" w:ascii="微软雅黑" w:hAnsi="微软雅黑" w:eastAsia="微软雅黑" w:cs="微软雅黑"/>
          <w:kern w:val="0"/>
          <w:sz w:val="28"/>
          <w:szCs w:val="28"/>
        </w:rPr>
        <w:t>府信息公开年度报告</w:t>
      </w:r>
    </w:p>
    <w:p>
      <w:pPr>
        <w:pStyle w:val="2"/>
        <w:keepNext w:val="0"/>
        <w:keepLines w:val="0"/>
        <w:widowControl/>
        <w:suppressLineNumbers w:val="0"/>
        <w:spacing w:before="0" w:beforeAutospacing="0" w:after="105" w:afterAutospacing="0" w:line="240" w:lineRule="atLeast"/>
        <w:ind w:left="0" w:right="0" w:firstLine="420"/>
        <w:jc w:val="both"/>
      </w:pPr>
      <w:r>
        <w:rPr>
          <w:rFonts w:ascii="微软雅黑" w:hAnsi="微软雅黑" w:eastAsia="微软雅黑" w:cs="微软雅黑"/>
          <w:kern w:val="0"/>
          <w:sz w:val="28"/>
          <w:szCs w:val="28"/>
        </w:rPr>
        <w:t>本报告依据《中华人民共和国政府信息公开条例》（国务院令第</w:t>
      </w:r>
      <w:r>
        <w:rPr>
          <w:rFonts w:hint="eastAsia" w:ascii="微软雅黑" w:hAnsi="微软雅黑" w:eastAsia="微软雅黑" w:cs="微软雅黑"/>
          <w:kern w:val="0"/>
          <w:sz w:val="28"/>
          <w:szCs w:val="28"/>
        </w:rPr>
        <w:t>711号，以下简称新《条例》）和《国务院办公厅政府信息与政务公开办公室关于政府信息公开工作年度报告有关事项的通知》（国办公开办函〔2019〕60号）要求，由永泰镇人民政府结合樟树市人民政府网站、樟树市政府信息公开平台等有关统计数据编制。本年度报告中所列数据的统计期限自2020年1月1日起至2020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http://www.zhangshu.gov.cn）下载。如对本报告有任何疑问，请与永泰镇人民政府办公室联系（地址：樟树市永泰镇人民政府，电话：0795-7891027，邮编：331200）。</w:t>
      </w:r>
    </w:p>
    <w:p>
      <w:pPr>
        <w:pStyle w:val="2"/>
        <w:keepNext w:val="0"/>
        <w:keepLines w:val="0"/>
        <w:widowControl/>
        <w:suppressLineNumbers w:val="0"/>
        <w:spacing w:before="0" w:beforeAutospacing="0" w:after="105" w:afterAutospacing="0" w:line="240" w:lineRule="atLeast"/>
        <w:ind w:left="0" w:right="0" w:firstLine="420"/>
        <w:jc w:val="both"/>
      </w:pPr>
      <w:r>
        <w:rPr>
          <w:rFonts w:hint="eastAsia" w:ascii="微软雅黑" w:hAnsi="微软雅黑" w:eastAsia="微软雅黑" w:cs="微软雅黑"/>
          <w:b/>
          <w:bCs/>
          <w:kern w:val="0"/>
          <w:sz w:val="28"/>
          <w:szCs w:val="28"/>
        </w:rPr>
        <w:t>一、总体情况</w:t>
      </w:r>
    </w:p>
    <w:p>
      <w:pPr>
        <w:pStyle w:val="2"/>
        <w:keepNext w:val="0"/>
        <w:keepLines w:val="0"/>
        <w:widowControl/>
        <w:suppressLineNumbers w:val="0"/>
        <w:spacing w:before="0" w:beforeAutospacing="0" w:after="105" w:afterAutospacing="0" w:line="240" w:lineRule="atLeast"/>
        <w:ind w:left="0" w:right="0" w:firstLine="420"/>
        <w:jc w:val="both"/>
      </w:pPr>
      <w:r>
        <w:rPr>
          <w:rFonts w:hint="eastAsia" w:ascii="微软雅黑" w:hAnsi="微软雅黑" w:eastAsia="微软雅黑" w:cs="微软雅黑"/>
          <w:kern w:val="0"/>
          <w:sz w:val="28"/>
          <w:szCs w:val="28"/>
        </w:rPr>
        <w:t>2020年，永泰镇人民政府坚持以习近平新时代中国特色社会主义思想为指导，深入贯彻党的十九大和十九届三中、四中、五中、六中全会精神，严格落实《国务院办公厅印发〈关于全面推进政务公开工作的意见〉实施细则的通知》（国办发〔2016〕80号）要求，全面执行省、宜春市和樟树市政府有关信息公开部署，立足民政职责，坚持以公开为常态、不公开为例外，扎实有序推进全市民政领域政府信息公开工作，充分发挥政府信息公开职能和效能，切实保障了人民群众的知情权、参与权、监督权，取得了良好的成效。</w:t>
      </w:r>
    </w:p>
    <w:p>
      <w:pPr>
        <w:pStyle w:val="2"/>
        <w:keepNext w:val="0"/>
        <w:keepLines w:val="0"/>
        <w:widowControl/>
        <w:suppressLineNumbers w:val="0"/>
        <w:spacing w:before="0" w:beforeAutospacing="0" w:after="105" w:afterAutospacing="0" w:line="240" w:lineRule="atLeast"/>
        <w:ind w:left="0" w:right="0" w:firstLine="420"/>
        <w:jc w:val="both"/>
      </w:pPr>
      <w:r>
        <w:rPr>
          <w:rFonts w:hint="eastAsia" w:ascii="微软雅黑" w:hAnsi="微软雅黑" w:eastAsia="微软雅黑" w:cs="微软雅黑"/>
          <w:b/>
          <w:bCs/>
          <w:kern w:val="0"/>
          <w:sz w:val="28"/>
          <w:szCs w:val="28"/>
        </w:rPr>
        <w:t>（一）主动公开</w:t>
      </w:r>
    </w:p>
    <w:p>
      <w:pPr>
        <w:pStyle w:val="2"/>
        <w:keepNext w:val="0"/>
        <w:keepLines w:val="0"/>
        <w:widowControl/>
        <w:suppressLineNumbers w:val="0"/>
        <w:spacing w:before="0" w:beforeAutospacing="0" w:after="105" w:afterAutospacing="0" w:line="240" w:lineRule="atLeast"/>
        <w:ind w:left="0" w:right="0" w:firstLine="420"/>
        <w:jc w:val="both"/>
      </w:pPr>
      <w:r>
        <w:rPr>
          <w:rFonts w:hint="eastAsia" w:ascii="微软雅黑" w:hAnsi="微软雅黑" w:eastAsia="微软雅黑" w:cs="微软雅黑"/>
          <w:kern w:val="0"/>
          <w:sz w:val="28"/>
          <w:szCs w:val="28"/>
        </w:rPr>
        <w:t>按照《条例》要求，我镇及时发布政府信息，不断改进工作作风，方便群众办事和监督。2020年政府各部门累计主动公开政府信息97条,其中乡镇动态22条、政府文件15条、年度工作报告2条、通知公告15条、财政决算4条,乡镇风光39条，较上一年有明显的增长。</w:t>
      </w:r>
    </w:p>
    <w:p>
      <w:pPr>
        <w:pStyle w:val="2"/>
        <w:keepNext w:val="0"/>
        <w:keepLines w:val="0"/>
        <w:widowControl/>
        <w:suppressLineNumbers w:val="0"/>
        <w:spacing w:before="0" w:beforeAutospacing="0" w:after="105" w:afterAutospacing="0" w:line="240" w:lineRule="atLeast"/>
        <w:ind w:left="0" w:right="0" w:firstLine="420"/>
        <w:jc w:val="both"/>
      </w:pPr>
      <w:r>
        <w:rPr>
          <w:rFonts w:hint="eastAsia" w:ascii="微软雅黑" w:hAnsi="微软雅黑" w:eastAsia="微软雅黑" w:cs="微软雅黑"/>
          <w:b/>
          <w:bCs/>
          <w:kern w:val="0"/>
          <w:sz w:val="28"/>
          <w:szCs w:val="28"/>
        </w:rPr>
        <w:t>（二）依申请公开</w:t>
      </w:r>
    </w:p>
    <w:p>
      <w:pPr>
        <w:pStyle w:val="2"/>
        <w:keepNext w:val="0"/>
        <w:keepLines w:val="0"/>
        <w:widowControl/>
        <w:suppressLineNumbers w:val="0"/>
        <w:spacing w:before="0" w:beforeAutospacing="0" w:after="105" w:afterAutospacing="0" w:line="240" w:lineRule="atLeast"/>
        <w:ind w:left="0" w:right="0" w:firstLine="420"/>
        <w:jc w:val="both"/>
      </w:pPr>
      <w:r>
        <w:rPr>
          <w:rFonts w:hint="eastAsia" w:ascii="微软雅黑" w:hAnsi="微软雅黑" w:eastAsia="微软雅黑" w:cs="微软雅黑"/>
          <w:kern w:val="0"/>
          <w:sz w:val="28"/>
          <w:szCs w:val="28"/>
        </w:rPr>
        <w:t>我镇高度重视依申请公开工作，积极完善依申请公开管理，按照《规定》要求，在政府门户网站公开了依申请公开受理机构、受理时间、申请程序、监督方式、答复时限等方面的相关规定，公开了依申请公开流程图、依申请公开申请表等信息，全面规范依申请公开过程，提高了依申请公开办理制度化规范化水平，2020年我镇收到政府信息公开申请书一则，群众对公开的政府信息满意度100%。</w:t>
      </w:r>
    </w:p>
    <w:p>
      <w:pPr>
        <w:pStyle w:val="2"/>
        <w:keepNext w:val="0"/>
        <w:keepLines w:val="0"/>
        <w:widowControl/>
        <w:suppressLineNumbers w:val="0"/>
        <w:spacing w:before="0" w:beforeAutospacing="0" w:after="105" w:afterAutospacing="0" w:line="240" w:lineRule="atLeast"/>
        <w:ind w:left="0" w:right="0" w:firstLine="420"/>
        <w:jc w:val="both"/>
      </w:pPr>
      <w:r>
        <w:rPr>
          <w:rFonts w:hint="eastAsia" w:ascii="微软雅黑" w:hAnsi="微软雅黑" w:eastAsia="微软雅黑" w:cs="微软雅黑"/>
          <w:b/>
          <w:bCs/>
          <w:kern w:val="0"/>
          <w:sz w:val="28"/>
          <w:szCs w:val="28"/>
        </w:rPr>
        <w:t>（三）政府信息管理</w:t>
      </w:r>
    </w:p>
    <w:p>
      <w:pPr>
        <w:pStyle w:val="2"/>
        <w:keepNext w:val="0"/>
        <w:keepLines w:val="0"/>
        <w:widowControl/>
        <w:suppressLineNumbers w:val="0"/>
        <w:spacing w:before="0" w:beforeAutospacing="0" w:after="105" w:afterAutospacing="0" w:line="240" w:lineRule="atLeast"/>
        <w:ind w:left="0" w:right="0" w:firstLine="420"/>
        <w:jc w:val="both"/>
      </w:pPr>
      <w:r>
        <w:rPr>
          <w:rFonts w:hint="eastAsia" w:ascii="微软雅黑" w:hAnsi="微软雅黑" w:eastAsia="微软雅黑" w:cs="微软雅黑"/>
          <w:kern w:val="0"/>
          <w:sz w:val="28"/>
          <w:szCs w:val="28"/>
        </w:rPr>
        <w:t>2020年度我镇加大数据公开力度，规范信息审核发布机制，并及时进行规范性文件清理。健全了政府信息审查发布机制，对在门户网站公开的政府信息进行内容审核和保密审查，确保公开信息依法、及时、全面、准确和合理。</w:t>
      </w:r>
    </w:p>
    <w:p>
      <w:pPr>
        <w:pStyle w:val="2"/>
        <w:keepNext w:val="0"/>
        <w:keepLines w:val="0"/>
        <w:widowControl/>
        <w:suppressLineNumbers w:val="0"/>
        <w:spacing w:before="0" w:beforeAutospacing="0" w:after="105" w:afterAutospacing="0" w:line="240" w:lineRule="atLeast"/>
        <w:ind w:left="0" w:right="0" w:firstLine="420"/>
        <w:jc w:val="both"/>
      </w:pPr>
      <w:r>
        <w:rPr>
          <w:rFonts w:hint="eastAsia" w:ascii="微软雅黑" w:hAnsi="微软雅黑" w:eastAsia="微软雅黑" w:cs="微软雅黑"/>
          <w:b/>
          <w:bCs/>
          <w:kern w:val="0"/>
          <w:sz w:val="28"/>
          <w:szCs w:val="28"/>
        </w:rPr>
        <w:t>（四）政府信息公开平台建设</w:t>
      </w:r>
    </w:p>
    <w:p>
      <w:pPr>
        <w:pStyle w:val="2"/>
        <w:keepNext w:val="0"/>
        <w:keepLines w:val="0"/>
        <w:widowControl/>
        <w:suppressLineNumbers w:val="0"/>
        <w:spacing w:before="0" w:beforeAutospacing="0" w:after="105" w:afterAutospacing="0" w:line="240" w:lineRule="atLeast"/>
        <w:ind w:left="0" w:right="0" w:firstLine="420"/>
        <w:jc w:val="both"/>
      </w:pPr>
      <w:r>
        <w:rPr>
          <w:rFonts w:hint="eastAsia" w:ascii="微软雅黑" w:hAnsi="微软雅黑" w:eastAsia="微软雅黑" w:cs="微软雅黑"/>
          <w:kern w:val="0"/>
          <w:sz w:val="28"/>
          <w:szCs w:val="28"/>
        </w:rPr>
        <w:t>1.加强组织领导。按照上级有关要求，我镇先后召开多次专题会议，研究部署信息公开工作，明确主体责任，有计划、有目标、分阶段地做好信息公开工作。</w:t>
      </w:r>
    </w:p>
    <w:p>
      <w:pPr>
        <w:pStyle w:val="2"/>
        <w:keepNext w:val="0"/>
        <w:keepLines w:val="0"/>
        <w:widowControl/>
        <w:suppressLineNumbers w:val="0"/>
        <w:spacing w:before="0" w:beforeAutospacing="0" w:after="105" w:afterAutospacing="0" w:line="240" w:lineRule="atLeast"/>
        <w:ind w:left="0" w:right="0" w:firstLine="420"/>
        <w:jc w:val="both"/>
      </w:pPr>
      <w:r>
        <w:rPr>
          <w:rFonts w:hint="eastAsia" w:ascii="微软雅黑" w:hAnsi="微软雅黑" w:eastAsia="微软雅黑" w:cs="微软雅黑"/>
          <w:kern w:val="0"/>
          <w:sz w:val="28"/>
          <w:szCs w:val="28"/>
        </w:rPr>
        <w:t>2.完善工作制度。为做好信息公开工作，我镇指定专人负责信息公开工作，定期召开政府信息公开工作学习会议，要求全镇干部职工加强对相关文件的学习，扎实推进政务公开工作顺利开展。</w:t>
      </w:r>
    </w:p>
    <w:p>
      <w:pPr>
        <w:pStyle w:val="2"/>
        <w:keepNext w:val="0"/>
        <w:keepLines w:val="0"/>
        <w:widowControl/>
        <w:suppressLineNumbers w:val="0"/>
        <w:spacing w:before="0" w:beforeAutospacing="0" w:after="105" w:afterAutospacing="0" w:line="240" w:lineRule="atLeast"/>
        <w:ind w:left="0" w:right="0" w:firstLine="420"/>
        <w:jc w:val="both"/>
      </w:pPr>
      <w:r>
        <w:rPr>
          <w:rFonts w:hint="eastAsia" w:ascii="微软雅黑" w:hAnsi="微软雅黑" w:eastAsia="微软雅黑" w:cs="微软雅黑"/>
          <w:kern w:val="0"/>
          <w:sz w:val="28"/>
          <w:szCs w:val="28"/>
        </w:rPr>
        <w:t>3.开展政务新媒体清理。根据市政府要求，积极开展新媒体清理工作，经梳理，我镇政务新媒体只有一个微信公众号，目前已经成功注销。</w:t>
      </w:r>
    </w:p>
    <w:p>
      <w:pPr>
        <w:pStyle w:val="2"/>
        <w:keepNext w:val="0"/>
        <w:keepLines w:val="0"/>
        <w:widowControl/>
        <w:suppressLineNumbers w:val="0"/>
        <w:spacing w:before="0" w:beforeAutospacing="0" w:after="105" w:afterAutospacing="0" w:line="240" w:lineRule="atLeast"/>
        <w:ind w:left="0" w:right="0" w:firstLine="420"/>
        <w:jc w:val="both"/>
      </w:pPr>
      <w:r>
        <w:rPr>
          <w:rFonts w:hint="eastAsia" w:ascii="微软雅黑" w:hAnsi="微软雅黑" w:eastAsia="微软雅黑" w:cs="微软雅黑"/>
          <w:b/>
          <w:bCs/>
          <w:kern w:val="0"/>
          <w:sz w:val="28"/>
          <w:szCs w:val="28"/>
        </w:rPr>
        <w:t>（五）监督保障</w:t>
      </w:r>
    </w:p>
    <w:p>
      <w:pPr>
        <w:pStyle w:val="2"/>
        <w:keepNext w:val="0"/>
        <w:keepLines w:val="0"/>
        <w:widowControl/>
        <w:suppressLineNumbers w:val="0"/>
        <w:spacing w:before="0" w:beforeAutospacing="0" w:after="105" w:afterAutospacing="0" w:line="240" w:lineRule="atLeast"/>
        <w:ind w:left="0" w:right="0" w:firstLine="420"/>
        <w:jc w:val="both"/>
      </w:pPr>
      <w:r>
        <w:rPr>
          <w:rFonts w:hint="eastAsia" w:ascii="微软雅黑" w:hAnsi="微软雅黑" w:eastAsia="微软雅黑" w:cs="微软雅黑"/>
          <w:kern w:val="0"/>
          <w:sz w:val="28"/>
          <w:szCs w:val="28"/>
        </w:rPr>
        <w:t>根据人员分工，及时调整永泰镇人民政府信息公开工作领导小组，建立政府网站信息上传与审核发布责任制，所有公布的信息需经单位领导审阅签字后，再有办公室统一审核发布。及时查错纠错，针对网上依申请公开及时依规处理，全面提升我镇政务公开质量。</w:t>
      </w:r>
    </w:p>
    <w:p>
      <w:pPr>
        <w:pStyle w:val="2"/>
        <w:keepNext w:val="0"/>
        <w:keepLines w:val="0"/>
        <w:widowControl/>
        <w:numPr>
          <w:numId w:val="0"/>
        </w:numPr>
        <w:suppressLineNumbers w:val="0"/>
        <w:spacing w:before="0" w:beforeAutospacing="0" w:after="105" w:afterAutospacing="0" w:line="240" w:lineRule="atLeast"/>
        <w:ind w:left="0" w:right="0" w:firstLine="420"/>
        <w:jc w:val="both"/>
      </w:pPr>
      <w:r>
        <w:rPr>
          <w:rFonts w:hint="eastAsia" w:ascii="微软雅黑" w:hAnsi="微软雅黑" w:eastAsia="微软雅黑" w:cs="微软雅黑"/>
          <w:b/>
          <w:bCs/>
          <w:kern w:val="0"/>
          <w:sz w:val="28"/>
          <w:szCs w:val="28"/>
        </w:rPr>
        <w:t>二、行政机关主动公开政府信息情况</w:t>
      </w:r>
    </w:p>
    <w:tbl>
      <w:tblPr>
        <w:tblW w:w="90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734"/>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color w:val="000000"/>
                <w:kern w:val="0"/>
                <w:sz w:val="20"/>
                <w:szCs w:val="20"/>
                <w:bdr w:val="none" w:color="auto" w:sz="0" w:space="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color w:val="000000"/>
                <w:kern w:val="0"/>
                <w:sz w:val="20"/>
                <w:szCs w:val="20"/>
                <w:bdr w:val="none" w:color="auto" w:sz="0" w:space="0"/>
              </w:rPr>
              <w:t>信息内容</w:t>
            </w:r>
          </w:p>
        </w:tc>
        <w:tc>
          <w:tcPr>
            <w:tcW w:w="2435"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color w:val="000000"/>
                <w:kern w:val="0"/>
                <w:sz w:val="20"/>
                <w:szCs w:val="20"/>
                <w:bdr w:val="none" w:color="auto" w:sz="0" w:space="0"/>
              </w:rPr>
              <w:t>本年</w:t>
            </w:r>
            <w:r>
              <w:rPr>
                <w:rFonts w:hint="eastAsia" w:ascii="宋体" w:hAnsi="宋体" w:eastAsia="宋体" w:cs="宋体"/>
                <w:kern w:val="0"/>
                <w:sz w:val="20"/>
                <w:szCs w:val="20"/>
                <w:bdr w:val="none" w:color="auto" w:sz="0" w:space="0"/>
              </w:rPr>
              <w:t>制发件数</w:t>
            </w:r>
          </w:p>
        </w:tc>
        <w:tc>
          <w:tcPr>
            <w:tcW w:w="2435"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color w:val="000000"/>
                <w:kern w:val="0"/>
                <w:sz w:val="20"/>
                <w:szCs w:val="20"/>
                <w:bdr w:val="none" w:color="auto" w:sz="0" w:space="0"/>
              </w:rPr>
              <w:t>本年废止件数</w:t>
            </w:r>
          </w:p>
        </w:tc>
        <w:tc>
          <w:tcPr>
            <w:tcW w:w="2435"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color w:val="000000"/>
                <w:kern w:val="0"/>
                <w:sz w:val="20"/>
                <w:szCs w:val="20"/>
                <w:bdr w:val="none" w:color="auto" w:sz="0" w:space="0"/>
              </w:rPr>
              <w:t>现行有效件</w:t>
            </w:r>
            <w:r>
              <w:rPr>
                <w:rFonts w:hint="eastAsia" w:ascii="宋体" w:hAnsi="宋体" w:eastAsia="宋体" w:cs="宋体"/>
                <w:kern w:val="0"/>
                <w:sz w:val="20"/>
                <w:szCs w:val="20"/>
                <w:bdr w:val="none" w:color="auto" w:sz="0" w:space="0"/>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left"/>
            </w:pPr>
            <w:r>
              <w:rPr>
                <w:rFonts w:hint="eastAsia" w:ascii="宋体" w:hAnsi="宋体" w:eastAsia="宋体" w:cs="宋体"/>
                <w:color w:val="000000"/>
                <w:kern w:val="0"/>
                <w:sz w:val="20"/>
                <w:szCs w:val="20"/>
                <w:bdr w:val="none" w:color="auto" w:sz="0" w:space="0"/>
              </w:rPr>
              <w:t>规章</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ascii="Calibri" w:hAnsi="Calibri" w:eastAsia="仿宋" w:cs="Calibri"/>
                <w:kern w:val="0"/>
                <w:sz w:val="32"/>
                <w:szCs w:val="32"/>
                <w:bdr w:val="none" w:color="auto" w:sz="0" w:space="0"/>
              </w:rPr>
              <w:t>15</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default" w:ascii="Calibri" w:hAnsi="Calibri" w:eastAsia="仿宋" w:cs="Calibri"/>
                <w:kern w:val="0"/>
                <w:sz w:val="32"/>
                <w:szCs w:val="32"/>
                <w:bdr w:val="none" w:color="auto" w:sz="0" w:space="0"/>
              </w:rPr>
              <w:t>10</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default" w:ascii="Calibri" w:hAnsi="Calibri" w:eastAsia="仿宋" w:cs="Calibri"/>
                <w:kern w:val="0"/>
                <w:sz w:val="32"/>
                <w:szCs w:val="32"/>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left"/>
            </w:pPr>
            <w:r>
              <w:rPr>
                <w:rFonts w:hint="eastAsia" w:ascii="宋体" w:hAnsi="宋体" w:eastAsia="宋体" w:cs="宋体"/>
                <w:color w:val="000000"/>
                <w:kern w:val="0"/>
                <w:sz w:val="20"/>
                <w:szCs w:val="20"/>
                <w:bdr w:val="none" w:color="auto" w:sz="0" w:space="0"/>
              </w:rPr>
              <w:t>行政规范性文件</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default" w:ascii="Calibri" w:hAnsi="Calibri" w:eastAsia="仿宋" w:cs="Calibri"/>
                <w:kern w:val="0"/>
                <w:sz w:val="32"/>
                <w:szCs w:val="32"/>
                <w:bdr w:val="none" w:color="auto" w:sz="0" w:space="0"/>
              </w:rPr>
              <w:t>15</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default" w:ascii="Calibri" w:hAnsi="Calibri" w:eastAsia="仿宋" w:cs="Calibri"/>
                <w:kern w:val="0"/>
                <w:sz w:val="32"/>
                <w:szCs w:val="32"/>
                <w:bdr w:val="none" w:color="auto" w:sz="0" w:space="0"/>
              </w:rPr>
              <w:t>15</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default" w:ascii="Calibri" w:hAnsi="Calibri" w:eastAsia="仿宋" w:cs="Calibri"/>
                <w:kern w:val="0"/>
                <w:sz w:val="32"/>
                <w:szCs w:val="32"/>
                <w:bdr w:val="none" w:color="auto" w:sz="0" w:space="0"/>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color w:val="000000"/>
                <w:kern w:val="0"/>
                <w:sz w:val="20"/>
                <w:szCs w:val="20"/>
                <w:bdr w:val="none" w:color="auto" w:sz="0" w:space="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color w:val="000000"/>
                <w:kern w:val="0"/>
                <w:sz w:val="20"/>
                <w:szCs w:val="20"/>
                <w:bdr w:val="none" w:color="auto" w:sz="0" w:space="0"/>
              </w:rPr>
              <w:t>信息内容</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color w:val="000000"/>
                <w:kern w:val="0"/>
                <w:sz w:val="20"/>
                <w:szCs w:val="20"/>
                <w:bdr w:val="none" w:color="auto" w:sz="0" w:space="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left"/>
            </w:pPr>
            <w:r>
              <w:rPr>
                <w:rFonts w:hint="eastAsia" w:ascii="宋体" w:hAnsi="宋体" w:eastAsia="宋体" w:cs="宋体"/>
                <w:color w:val="000000"/>
                <w:kern w:val="0"/>
                <w:sz w:val="20"/>
                <w:szCs w:val="20"/>
                <w:bdr w:val="none" w:color="auto" w:sz="0" w:space="0"/>
              </w:rPr>
              <w:t>行政许可</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default" w:ascii="Calibri" w:hAnsi="Calibri" w:eastAsia="仿宋" w:cs="Calibri"/>
                <w:kern w:val="0"/>
                <w:sz w:val="32"/>
                <w:szCs w:val="32"/>
                <w:bdr w:val="none" w:color="auto" w:sz="0" w:space="0"/>
              </w:rPr>
              <w:t>0</w:t>
            </w:r>
            <w:r>
              <w:rPr>
                <w:rFonts w:hint="default" w:ascii="Calibri" w:hAnsi="Calibri" w:eastAsia="宋体" w:cs="Calibri"/>
                <w:kern w:val="0"/>
                <w:sz w:val="32"/>
                <w:szCs w:val="32"/>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color w:val="000000"/>
                <w:kern w:val="0"/>
                <w:sz w:val="20"/>
                <w:szCs w:val="20"/>
                <w:bdr w:val="none" w:color="auto" w:sz="0" w:space="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firstLine="0"/>
              <w:jc w:val="center"/>
            </w:pPr>
            <w:r>
              <w:rPr>
                <w:rFonts w:hint="eastAsia" w:ascii="宋体" w:hAnsi="宋体" w:eastAsia="宋体" w:cs="宋体"/>
                <w:color w:val="000000"/>
                <w:kern w:val="0"/>
                <w:sz w:val="20"/>
                <w:szCs w:val="20"/>
                <w:bdr w:val="none" w:color="auto" w:sz="0" w:space="0"/>
              </w:rPr>
              <w:t>信息内容</w:t>
            </w:r>
          </w:p>
        </w:tc>
        <w:tc>
          <w:tcPr>
            <w:tcW w:w="7305" w:type="dxa"/>
            <w:gridSpan w:val="3"/>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firstLine="0"/>
              <w:jc w:val="center"/>
            </w:pPr>
            <w:r>
              <w:rPr>
                <w:rFonts w:hint="eastAsia" w:ascii="宋体" w:hAnsi="宋体" w:eastAsia="宋体" w:cs="宋体"/>
                <w:color w:val="000000"/>
                <w:kern w:val="0"/>
                <w:sz w:val="20"/>
                <w:szCs w:val="20"/>
                <w:bdr w:val="none" w:color="auto" w:sz="0" w:space="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left"/>
            </w:pPr>
            <w:r>
              <w:rPr>
                <w:rFonts w:hint="eastAsia" w:ascii="宋体" w:hAnsi="宋体" w:eastAsia="宋体" w:cs="宋体"/>
                <w:color w:val="000000"/>
                <w:kern w:val="0"/>
                <w:sz w:val="20"/>
                <w:szCs w:val="20"/>
                <w:bdr w:val="none" w:color="auto" w:sz="0" w:space="0"/>
              </w:rPr>
              <w:t>行政处罚</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default" w:ascii="Calibri" w:hAnsi="Calibri" w:eastAsia="仿宋" w:cs="Calibri"/>
                <w:kern w:val="0"/>
                <w:sz w:val="32"/>
                <w:szCs w:val="32"/>
                <w:bdr w:val="none" w:color="auto" w:sz="0" w:space="0"/>
              </w:rPr>
              <w:t>0</w:t>
            </w:r>
            <w:r>
              <w:rPr>
                <w:rFonts w:hint="eastAsia" w:ascii="仿宋" w:hAnsi="仿宋" w:eastAsia="仿宋" w:cs="仿宋"/>
                <w:kern w:val="0"/>
                <w:sz w:val="32"/>
                <w:szCs w:val="32"/>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left"/>
            </w:pPr>
            <w:r>
              <w:rPr>
                <w:rFonts w:hint="eastAsia" w:ascii="宋体" w:hAnsi="宋体" w:eastAsia="宋体" w:cs="宋体"/>
                <w:color w:val="000000"/>
                <w:kern w:val="0"/>
                <w:sz w:val="20"/>
                <w:szCs w:val="20"/>
                <w:bdr w:val="none" w:color="auto" w:sz="0" w:space="0"/>
              </w:rPr>
              <w:t>行政强制</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default" w:ascii="Calibri" w:hAnsi="Calibri" w:eastAsia="仿宋" w:cs="Calibri"/>
                <w:kern w:val="0"/>
                <w:sz w:val="32"/>
                <w:szCs w:val="32"/>
                <w:bdr w:val="none" w:color="auto" w:sz="0" w:space="0"/>
              </w:rPr>
              <w:t>0</w:t>
            </w:r>
            <w:r>
              <w:rPr>
                <w:rFonts w:hint="eastAsia" w:ascii="仿宋" w:hAnsi="仿宋" w:eastAsia="仿宋" w:cs="仿宋"/>
                <w:kern w:val="0"/>
                <w:sz w:val="32"/>
                <w:szCs w:val="32"/>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color w:val="000000"/>
                <w:kern w:val="0"/>
                <w:sz w:val="20"/>
                <w:szCs w:val="20"/>
                <w:bdr w:val="none" w:color="auto" w:sz="0" w:space="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color w:val="000000"/>
                <w:kern w:val="0"/>
                <w:sz w:val="20"/>
                <w:szCs w:val="20"/>
                <w:bdr w:val="none" w:color="auto" w:sz="0" w:space="0"/>
              </w:rPr>
              <w:t>信息内容</w:t>
            </w:r>
          </w:p>
        </w:tc>
        <w:tc>
          <w:tcPr>
            <w:tcW w:w="7305" w:type="dxa"/>
            <w:gridSpan w:val="3"/>
            <w:tcBorders>
              <w:top w:val="nil"/>
              <w:left w:val="nil"/>
              <w:bottom w:val="single" w:color="auto" w:sz="8" w:space="0"/>
              <w:right w:val="single" w:color="000000"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color w:val="000000"/>
                <w:kern w:val="0"/>
                <w:sz w:val="20"/>
                <w:szCs w:val="20"/>
                <w:bdr w:val="none" w:color="auto" w:sz="0" w:space="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left"/>
            </w:pPr>
            <w:r>
              <w:rPr>
                <w:rFonts w:hint="eastAsia" w:ascii="宋体" w:hAnsi="宋体" w:eastAsia="宋体" w:cs="宋体"/>
                <w:color w:val="000000"/>
                <w:kern w:val="0"/>
                <w:sz w:val="20"/>
                <w:szCs w:val="20"/>
                <w:bdr w:val="none" w:color="auto" w:sz="0" w:space="0"/>
              </w:rPr>
              <w:t>行政事业性收费</w:t>
            </w:r>
          </w:p>
        </w:tc>
        <w:tc>
          <w:tcPr>
            <w:tcW w:w="7305" w:type="dxa"/>
            <w:gridSpan w:val="3"/>
            <w:tcBorders>
              <w:top w:val="nil"/>
              <w:left w:val="nil"/>
              <w:bottom w:val="single" w:color="auto" w:sz="8" w:space="0"/>
              <w:right w:val="single" w:color="000000"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default" w:ascii="Calibri" w:hAnsi="Calibri" w:eastAsia="仿宋" w:cs="Calibri"/>
                <w:kern w:val="0"/>
                <w:sz w:val="32"/>
                <w:szCs w:val="32"/>
                <w:bdr w:val="none" w:color="auto" w:sz="0" w:space="0"/>
              </w:rPr>
              <w:t>0</w:t>
            </w:r>
          </w:p>
        </w:tc>
      </w:tr>
    </w:tbl>
    <w:p>
      <w:pPr>
        <w:pStyle w:val="2"/>
        <w:keepNext w:val="0"/>
        <w:keepLines w:val="0"/>
        <w:widowControl/>
        <w:suppressLineNumbers w:val="0"/>
        <w:spacing w:before="0" w:beforeAutospacing="0" w:after="105" w:afterAutospacing="0" w:line="240" w:lineRule="atLeast"/>
        <w:ind w:left="0" w:right="0" w:rightChars="0" w:firstLine="420" w:firstLineChars="0"/>
        <w:jc w:val="both"/>
      </w:pPr>
      <w:r>
        <w:rPr>
          <w:rFonts w:hint="eastAsia" w:ascii="微软雅黑" w:hAnsi="微软雅黑" w:eastAsia="微软雅黑" w:cs="微软雅黑"/>
          <w:b/>
          <w:bCs/>
          <w:kern w:val="0"/>
          <w:sz w:val="28"/>
          <w:szCs w:val="28"/>
        </w:rPr>
        <w:t>三、行政机关收到和处理政府信息公开申请情况</w:t>
      </w:r>
    </w:p>
    <w:tbl>
      <w:tblPr>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wordWrap w:val="0"/>
              <w:spacing w:before="0" w:beforeAutospacing="0" w:after="0" w:afterAutospacing="0" w:line="560" w:lineRule="atLeast"/>
              <w:ind w:left="0" w:right="0"/>
              <w:jc w:val="left"/>
            </w:pPr>
            <w:r>
              <w:rPr>
                <w:rFonts w:hint="eastAsia" w:ascii="宋体" w:hAnsi="宋体" w:eastAsia="宋体" w:cs="宋体"/>
                <w:kern w:val="0"/>
                <w:sz w:val="20"/>
                <w:szCs w:val="20"/>
                <w:bdr w:val="none" w:color="auto" w:sz="0" w:space="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0"/>
                <w:szCs w:val="20"/>
                <w:bdr w:val="none" w:color="auto" w:sz="0" w:space="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0"/>
                <w:szCs w:val="20"/>
                <w:bdr w:val="none" w:color="auto" w:sz="0" w:space="0"/>
              </w:rPr>
              <w:t>自然人</w:t>
            </w:r>
          </w:p>
        </w:tc>
        <w:tc>
          <w:tcPr>
            <w:tcW w:w="3440" w:type="dxa"/>
            <w:gridSpan w:val="5"/>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0"/>
                <w:szCs w:val="20"/>
                <w:bdr w:val="none" w:color="auto" w:sz="0" w:space="0"/>
              </w:rPr>
              <w:t>法人或其他组织</w:t>
            </w:r>
          </w:p>
        </w:tc>
        <w:tc>
          <w:tcPr>
            <w:tcW w:w="688" w:type="dxa"/>
            <w:vMerge w:val="restart"/>
            <w:tcBorders>
              <w:top w:val="single" w:color="auto" w:sz="8" w:space="0"/>
              <w:left w:val="nil"/>
              <w:bottom w:val="outset"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0"/>
                <w:szCs w:val="20"/>
                <w:bdr w:val="none" w:color="auto" w:sz="0" w:space="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0"/>
                <w:szCs w:val="20"/>
                <w:bdr w:val="none" w:color="auto" w:sz="0" w:space="0"/>
              </w:rPr>
              <w:t>商业</w:t>
            </w:r>
          </w:p>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0"/>
                <w:szCs w:val="20"/>
                <w:bdr w:val="none" w:color="auto" w:sz="0" w:space="0"/>
              </w:rPr>
              <w:t>企业</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0"/>
                <w:szCs w:val="20"/>
                <w:bdr w:val="none" w:color="auto" w:sz="0" w:space="0"/>
              </w:rPr>
              <w:t>科研</w:t>
            </w:r>
          </w:p>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0"/>
                <w:szCs w:val="20"/>
                <w:bdr w:val="none" w:color="auto" w:sz="0" w:space="0"/>
              </w:rPr>
              <w:t>机构</w:t>
            </w:r>
          </w:p>
        </w:tc>
        <w:tc>
          <w:tcPr>
            <w:tcW w:w="688"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0"/>
                <w:szCs w:val="20"/>
                <w:bdr w:val="none" w:color="auto" w:sz="0" w:space="0"/>
              </w:rPr>
              <w:t>社会公益组织</w:t>
            </w:r>
          </w:p>
        </w:tc>
        <w:tc>
          <w:tcPr>
            <w:tcW w:w="688"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0"/>
                <w:szCs w:val="20"/>
                <w:bdr w:val="none" w:color="auto" w:sz="0" w:space="0"/>
              </w:rPr>
              <w:t>法律服务机构</w:t>
            </w:r>
          </w:p>
        </w:tc>
        <w:tc>
          <w:tcPr>
            <w:tcW w:w="688"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0"/>
                <w:szCs w:val="20"/>
                <w:bdr w:val="none" w:color="auto" w:sz="0" w:space="0"/>
              </w:rPr>
              <w:t>其他</w:t>
            </w:r>
          </w:p>
        </w:tc>
        <w:tc>
          <w:tcPr>
            <w:tcW w:w="688" w:type="dxa"/>
            <w:vMerge w:val="continue"/>
            <w:tcBorders>
              <w:top w:val="single" w:color="auto" w:sz="8" w:space="0"/>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left"/>
            </w:pPr>
            <w:r>
              <w:rPr>
                <w:rFonts w:hint="eastAsia" w:ascii="宋体" w:hAnsi="宋体" w:eastAsia="宋体" w:cs="宋体"/>
                <w:kern w:val="0"/>
                <w:sz w:val="20"/>
                <w:szCs w:val="20"/>
                <w:bdr w:val="none" w:color="auto" w:sz="0" w:space="0"/>
              </w:rPr>
              <w:t>一、本年新收政府信息公开申请数量</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1</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left"/>
            </w:pPr>
            <w:r>
              <w:rPr>
                <w:rFonts w:hint="eastAsia" w:ascii="宋体" w:hAnsi="宋体" w:eastAsia="宋体" w:cs="宋体"/>
                <w:kern w:val="0"/>
                <w:sz w:val="20"/>
                <w:szCs w:val="20"/>
                <w:bdr w:val="none" w:color="auto" w:sz="0" w:space="0"/>
              </w:rPr>
              <w:t>二、上年结转政府信息公开申请数量</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left"/>
            </w:pPr>
            <w:r>
              <w:rPr>
                <w:rFonts w:hint="eastAsia" w:ascii="宋体" w:hAnsi="宋体" w:eastAsia="宋体" w:cs="宋体"/>
                <w:kern w:val="0"/>
                <w:sz w:val="20"/>
                <w:szCs w:val="20"/>
                <w:bdr w:val="none" w:color="auto" w:sz="0" w:space="0"/>
              </w:rPr>
              <w:t>三、本年度办理结果</w:t>
            </w:r>
          </w:p>
        </w:tc>
        <w:tc>
          <w:tcPr>
            <w:tcW w:w="3414" w:type="dxa"/>
            <w:gridSpan w:val="2"/>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left"/>
            </w:pPr>
            <w:r>
              <w:rPr>
                <w:rFonts w:hint="eastAsia" w:ascii="宋体" w:hAnsi="宋体" w:eastAsia="宋体" w:cs="宋体"/>
                <w:kern w:val="0"/>
                <w:sz w:val="20"/>
                <w:szCs w:val="20"/>
                <w:bdr w:val="none" w:color="auto" w:sz="0" w:space="0"/>
              </w:rPr>
              <w:t>（一）予以公开</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1</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414" w:type="dxa"/>
            <w:gridSpan w:val="2"/>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left"/>
            </w:pPr>
            <w:r>
              <w:rPr>
                <w:rFonts w:hint="eastAsia" w:ascii="宋体" w:hAnsi="宋体" w:eastAsia="宋体" w:cs="宋体"/>
                <w:kern w:val="0"/>
                <w:sz w:val="20"/>
                <w:szCs w:val="20"/>
                <w:bdr w:val="none" w:color="auto" w:sz="0" w:space="0"/>
              </w:rPr>
              <w:t>（二）部分公开（区分处理的，只计这一情形，不计其他情形）</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left"/>
            </w:pPr>
            <w:r>
              <w:rPr>
                <w:rFonts w:hint="eastAsia" w:ascii="宋体" w:hAnsi="宋体" w:eastAsia="宋体" w:cs="宋体"/>
                <w:kern w:val="0"/>
                <w:sz w:val="20"/>
                <w:szCs w:val="20"/>
                <w:bdr w:val="none" w:color="auto" w:sz="0" w:space="0"/>
              </w:rPr>
              <w:t>（三）不予公开</w:t>
            </w:r>
          </w:p>
        </w:tc>
        <w:tc>
          <w:tcPr>
            <w:tcW w:w="257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left"/>
            </w:pPr>
            <w:r>
              <w:rPr>
                <w:rFonts w:hint="eastAsia" w:ascii="宋体" w:hAnsi="宋体" w:eastAsia="宋体" w:cs="宋体"/>
                <w:kern w:val="0"/>
                <w:sz w:val="20"/>
                <w:szCs w:val="20"/>
                <w:bdr w:val="none" w:color="auto" w:sz="0" w:space="0"/>
              </w:rPr>
              <w:t>1.属于国家秘密</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257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left"/>
            </w:pPr>
            <w:r>
              <w:rPr>
                <w:rFonts w:hint="eastAsia" w:ascii="宋体" w:hAnsi="宋体" w:eastAsia="宋体" w:cs="宋体"/>
                <w:kern w:val="0"/>
                <w:sz w:val="20"/>
                <w:szCs w:val="20"/>
                <w:bdr w:val="none" w:color="auto" w:sz="0" w:space="0"/>
              </w:rPr>
              <w:t>2.其他法律行政法规禁止公开</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257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left"/>
            </w:pPr>
            <w:r>
              <w:rPr>
                <w:rFonts w:hint="eastAsia" w:ascii="宋体" w:hAnsi="宋体" w:eastAsia="宋体" w:cs="宋体"/>
                <w:kern w:val="0"/>
                <w:sz w:val="20"/>
                <w:szCs w:val="20"/>
                <w:bdr w:val="none" w:color="auto" w:sz="0" w:space="0"/>
              </w:rPr>
              <w:t>3.危及“三安全一稳定”</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257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left"/>
            </w:pPr>
            <w:r>
              <w:rPr>
                <w:rFonts w:hint="eastAsia" w:ascii="宋体" w:hAnsi="宋体" w:eastAsia="宋体" w:cs="宋体"/>
                <w:kern w:val="0"/>
                <w:sz w:val="20"/>
                <w:szCs w:val="20"/>
                <w:bdr w:val="none" w:color="auto" w:sz="0" w:space="0"/>
              </w:rPr>
              <w:t>4.保护第三方合法权益</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257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left"/>
            </w:pPr>
            <w:r>
              <w:rPr>
                <w:rFonts w:hint="eastAsia" w:ascii="宋体" w:hAnsi="宋体" w:eastAsia="宋体" w:cs="宋体"/>
                <w:kern w:val="0"/>
                <w:sz w:val="20"/>
                <w:szCs w:val="20"/>
                <w:bdr w:val="none" w:color="auto" w:sz="0" w:space="0"/>
              </w:rPr>
              <w:t>5.属于三类内部事务信息</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257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left"/>
            </w:pPr>
            <w:r>
              <w:rPr>
                <w:rFonts w:hint="eastAsia" w:ascii="宋体" w:hAnsi="宋体" w:eastAsia="宋体" w:cs="宋体"/>
                <w:kern w:val="0"/>
                <w:sz w:val="20"/>
                <w:szCs w:val="20"/>
                <w:bdr w:val="none" w:color="auto" w:sz="0" w:space="0"/>
              </w:rPr>
              <w:t>6.属于四类过程性信息</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257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left"/>
            </w:pPr>
            <w:r>
              <w:rPr>
                <w:rFonts w:hint="eastAsia" w:ascii="宋体" w:hAnsi="宋体" w:eastAsia="宋体" w:cs="宋体"/>
                <w:kern w:val="0"/>
                <w:sz w:val="20"/>
                <w:szCs w:val="20"/>
                <w:bdr w:val="none" w:color="auto" w:sz="0" w:space="0"/>
              </w:rPr>
              <w:t>7.属于行政执法案卷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257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left"/>
            </w:pPr>
            <w:r>
              <w:rPr>
                <w:rFonts w:hint="eastAsia" w:ascii="宋体" w:hAnsi="宋体" w:eastAsia="宋体" w:cs="宋体"/>
                <w:kern w:val="0"/>
                <w:sz w:val="20"/>
                <w:szCs w:val="20"/>
                <w:bdr w:val="none" w:color="auto" w:sz="0" w:space="0"/>
              </w:rPr>
              <w:t>8.属于行政查询事项</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left"/>
            </w:pPr>
            <w:r>
              <w:rPr>
                <w:rFonts w:hint="eastAsia" w:ascii="宋体" w:hAnsi="宋体" w:eastAsia="宋体" w:cs="宋体"/>
                <w:kern w:val="0"/>
                <w:sz w:val="20"/>
                <w:szCs w:val="20"/>
                <w:bdr w:val="none" w:color="auto" w:sz="0" w:space="0"/>
              </w:rPr>
              <w:t>（四）无法提供</w:t>
            </w:r>
          </w:p>
        </w:tc>
        <w:tc>
          <w:tcPr>
            <w:tcW w:w="257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left"/>
            </w:pPr>
            <w:r>
              <w:rPr>
                <w:rFonts w:hint="eastAsia" w:ascii="宋体" w:hAnsi="宋体" w:eastAsia="宋体" w:cs="宋体"/>
                <w:kern w:val="0"/>
                <w:sz w:val="20"/>
                <w:szCs w:val="20"/>
                <w:bdr w:val="none" w:color="auto" w:sz="0" w:space="0"/>
              </w:rPr>
              <w:t>1.本机关不掌握相关政府信息</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257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left"/>
            </w:pPr>
            <w:r>
              <w:rPr>
                <w:rFonts w:hint="eastAsia" w:ascii="宋体" w:hAnsi="宋体" w:eastAsia="宋体" w:cs="宋体"/>
                <w:kern w:val="0"/>
                <w:sz w:val="20"/>
                <w:szCs w:val="20"/>
                <w:bdr w:val="none" w:color="auto" w:sz="0" w:space="0"/>
              </w:rPr>
              <w:t>2.没有现成信息需要另行制作</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257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left"/>
            </w:pPr>
            <w:r>
              <w:rPr>
                <w:rFonts w:hint="eastAsia" w:ascii="宋体" w:hAnsi="宋体" w:eastAsia="宋体" w:cs="宋体"/>
                <w:kern w:val="0"/>
                <w:sz w:val="20"/>
                <w:szCs w:val="20"/>
                <w:bdr w:val="none" w:color="auto" w:sz="0" w:space="0"/>
              </w:rPr>
              <w:t>3.补正后申请内容仍不明确</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left"/>
            </w:pPr>
            <w:r>
              <w:rPr>
                <w:rFonts w:hint="eastAsia" w:ascii="宋体" w:hAnsi="宋体" w:eastAsia="宋体" w:cs="宋体"/>
                <w:kern w:val="0"/>
                <w:sz w:val="20"/>
                <w:szCs w:val="20"/>
                <w:bdr w:val="none" w:color="auto" w:sz="0" w:space="0"/>
              </w:rPr>
              <w:t>（五）不予处理</w:t>
            </w:r>
          </w:p>
        </w:tc>
        <w:tc>
          <w:tcPr>
            <w:tcW w:w="257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left"/>
            </w:pPr>
            <w:r>
              <w:rPr>
                <w:rFonts w:hint="eastAsia" w:ascii="宋体" w:hAnsi="宋体" w:eastAsia="宋体" w:cs="宋体"/>
                <w:kern w:val="0"/>
                <w:sz w:val="20"/>
                <w:szCs w:val="20"/>
                <w:bdr w:val="none" w:color="auto" w:sz="0" w:space="0"/>
              </w:rPr>
              <w:t>1.信访举报投诉类申请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257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left"/>
            </w:pPr>
            <w:r>
              <w:rPr>
                <w:rFonts w:hint="eastAsia" w:ascii="宋体" w:hAnsi="宋体" w:eastAsia="宋体" w:cs="宋体"/>
                <w:kern w:val="0"/>
                <w:sz w:val="20"/>
                <w:szCs w:val="20"/>
                <w:bdr w:val="none" w:color="auto" w:sz="0" w:space="0"/>
              </w:rPr>
              <w:t>2.重复申请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257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left"/>
            </w:pPr>
            <w:r>
              <w:rPr>
                <w:rFonts w:hint="eastAsia" w:ascii="宋体" w:hAnsi="宋体" w:eastAsia="宋体" w:cs="宋体"/>
                <w:kern w:val="0"/>
                <w:sz w:val="20"/>
                <w:szCs w:val="20"/>
                <w:bdr w:val="none" w:color="auto" w:sz="0" w:space="0"/>
              </w:rPr>
              <w:t>3.要求提供公开出版物</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257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left"/>
            </w:pPr>
            <w:r>
              <w:rPr>
                <w:rFonts w:hint="eastAsia" w:ascii="宋体" w:hAnsi="宋体" w:eastAsia="宋体" w:cs="宋体"/>
                <w:kern w:val="0"/>
                <w:sz w:val="20"/>
                <w:szCs w:val="20"/>
                <w:bdr w:val="none" w:color="auto" w:sz="0" w:space="0"/>
              </w:rPr>
              <w:t>4.无正当理由大量反复申请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2579"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both"/>
            </w:pPr>
            <w:r>
              <w:rPr>
                <w:rFonts w:hint="eastAsia" w:ascii="宋体" w:hAnsi="宋体" w:eastAsia="宋体" w:cs="宋体"/>
                <w:kern w:val="0"/>
                <w:sz w:val="20"/>
                <w:szCs w:val="20"/>
                <w:bdr w:val="none" w:color="auto" w:sz="0" w:space="0"/>
              </w:rPr>
              <w:t>5.要求行政机关确认或重新出具已获取信息</w:t>
            </w:r>
          </w:p>
        </w:tc>
        <w:tc>
          <w:tcPr>
            <w:tcW w:w="688"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left"/>
            </w:pPr>
            <w:r>
              <w:rPr>
                <w:rFonts w:hint="eastAsia" w:ascii="宋体" w:hAnsi="宋体" w:eastAsia="宋体" w:cs="宋体"/>
                <w:kern w:val="0"/>
                <w:sz w:val="20"/>
                <w:szCs w:val="20"/>
                <w:bdr w:val="none" w:color="auto" w:sz="0" w:space="0"/>
              </w:rPr>
              <w:t>（六）其他处理</w:t>
            </w:r>
          </w:p>
        </w:tc>
        <w:tc>
          <w:tcPr>
            <w:tcW w:w="257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both"/>
            </w:pPr>
            <w:r>
              <w:rPr>
                <w:rFonts w:hint="eastAsia" w:ascii="宋体" w:hAnsi="宋体" w:eastAsia="宋体" w:cs="宋体"/>
                <w:kern w:val="0"/>
                <w:sz w:val="20"/>
                <w:szCs w:val="20"/>
                <w:bdr w:val="none" w:color="auto" w:sz="0" w:space="0"/>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257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both"/>
            </w:pPr>
            <w:r>
              <w:rPr>
                <w:rFonts w:hint="eastAsia" w:ascii="宋体" w:hAnsi="宋体" w:eastAsia="宋体" w:cs="宋体"/>
                <w:kern w:val="0"/>
                <w:sz w:val="20"/>
                <w:szCs w:val="20"/>
                <w:bdr w:val="none" w:color="auto" w:sz="0" w:space="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257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left"/>
            </w:pPr>
            <w:r>
              <w:rPr>
                <w:rFonts w:hint="eastAsia" w:ascii="宋体" w:hAnsi="宋体" w:eastAsia="宋体" w:cs="宋体"/>
                <w:kern w:val="0"/>
                <w:sz w:val="20"/>
                <w:szCs w:val="20"/>
                <w:bdr w:val="none" w:color="auto" w:sz="0" w:space="0"/>
              </w:rPr>
              <w:t>3.其他</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414" w:type="dxa"/>
            <w:gridSpan w:val="2"/>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left"/>
            </w:pPr>
            <w:r>
              <w:rPr>
                <w:rFonts w:hint="eastAsia" w:ascii="宋体" w:hAnsi="宋体" w:eastAsia="宋体" w:cs="宋体"/>
                <w:kern w:val="0"/>
                <w:sz w:val="20"/>
                <w:szCs w:val="20"/>
                <w:bdr w:val="none" w:color="auto" w:sz="0" w:space="0"/>
              </w:rPr>
              <w:t>（七）总计</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1</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left"/>
            </w:pPr>
            <w:r>
              <w:rPr>
                <w:rFonts w:hint="eastAsia" w:ascii="宋体" w:hAnsi="宋体" w:eastAsia="宋体" w:cs="宋体"/>
                <w:kern w:val="0"/>
                <w:sz w:val="20"/>
                <w:szCs w:val="20"/>
                <w:bdr w:val="none" w:color="auto" w:sz="0" w:space="0"/>
              </w:rPr>
              <w:t>四、结转下年度继续办理</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kern w:val="0"/>
                <w:sz w:val="22"/>
                <w:szCs w:val="22"/>
                <w:bdr w:val="none" w:color="auto" w:sz="0" w:space="0"/>
              </w:rPr>
              <w:t>0</w:t>
            </w:r>
          </w:p>
        </w:tc>
      </w:tr>
    </w:tbl>
    <w:p>
      <w:pPr>
        <w:pStyle w:val="2"/>
        <w:keepNext w:val="0"/>
        <w:keepLines w:val="0"/>
        <w:widowControl/>
        <w:suppressLineNumbers w:val="0"/>
        <w:spacing w:before="0" w:beforeAutospacing="0" w:after="105" w:afterAutospacing="0" w:line="240" w:lineRule="atLeast"/>
        <w:ind w:left="0" w:right="0" w:rightChars="0"/>
        <w:jc w:val="both"/>
      </w:pPr>
      <w:r>
        <w:rPr>
          <w:rFonts w:hint="eastAsia" w:ascii="微软雅黑" w:hAnsi="微软雅黑" w:eastAsia="微软雅黑" w:cs="微软雅黑"/>
          <w:b/>
          <w:bCs/>
          <w:kern w:val="0"/>
          <w:sz w:val="28"/>
          <w:szCs w:val="28"/>
        </w:rPr>
        <w:t> </w:t>
      </w:r>
    </w:p>
    <w:p>
      <w:pPr>
        <w:pStyle w:val="2"/>
        <w:keepNext w:val="0"/>
        <w:keepLines w:val="0"/>
        <w:widowControl/>
        <w:suppressLineNumbers w:val="0"/>
        <w:spacing w:before="0" w:beforeAutospacing="0" w:after="105" w:afterAutospacing="0" w:line="240" w:lineRule="atLeast"/>
        <w:ind w:left="0" w:right="0" w:firstLine="420" w:firstLineChars="0"/>
        <w:jc w:val="both"/>
      </w:pPr>
      <w:r>
        <w:rPr>
          <w:rFonts w:hint="eastAsia" w:ascii="微软雅黑" w:hAnsi="微软雅黑" w:eastAsia="微软雅黑" w:cs="微软雅黑"/>
          <w:b/>
          <w:bCs/>
          <w:kern w:val="0"/>
          <w:sz w:val="28"/>
          <w:szCs w:val="28"/>
        </w:rPr>
        <w:t>四、因政府信息公开工作被申请行政复议、提起行政诉讼情况</w:t>
      </w:r>
    </w:p>
    <w:tbl>
      <w:tblPr>
        <w:tblW w:w="928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095" w:type="dxa"/>
            <w:gridSpan w:val="5"/>
            <w:tcBorders>
              <w:top w:val="single" w:color="auto" w:sz="8" w:space="0"/>
              <w:left w:val="single" w:color="auto" w:sz="8" w:space="0"/>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i w:val="0"/>
                <w:iCs w:val="0"/>
                <w:caps w:val="0"/>
                <w:color w:val="000000"/>
                <w:spacing w:val="0"/>
                <w:kern w:val="0"/>
                <w:sz w:val="20"/>
                <w:szCs w:val="20"/>
                <w:bdr w:val="none" w:color="auto" w:sz="0" w:space="0"/>
              </w:rPr>
              <w:t>行政复议</w:t>
            </w:r>
          </w:p>
        </w:tc>
        <w:tc>
          <w:tcPr>
            <w:tcW w:w="6193" w:type="dxa"/>
            <w:gridSpan w:val="10"/>
            <w:tcBorders>
              <w:top w:val="single" w:color="auto" w:sz="8" w:space="0"/>
              <w:left w:val="nil"/>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i w:val="0"/>
                <w:iCs w:val="0"/>
                <w:caps w:val="0"/>
                <w:color w:val="000000"/>
                <w:spacing w:val="0"/>
                <w:kern w:val="0"/>
                <w:sz w:val="20"/>
                <w:szCs w:val="20"/>
                <w:bdr w:val="none" w:color="auto" w:sz="0" w:space="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19" w:type="dxa"/>
            <w:vMerge w:val="restart"/>
            <w:tcBorders>
              <w:top w:val="nil"/>
              <w:left w:val="single" w:color="auto" w:sz="8" w:space="0"/>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widowControl/>
              <w:suppressLineNumbers w:val="0"/>
              <w:wordWrap w:val="0"/>
              <w:spacing w:before="0" w:beforeAutospacing="0" w:after="0" w:afterAutospacing="0" w:line="560" w:lineRule="atLeast"/>
              <w:ind w:left="0" w:right="0" w:firstLine="0"/>
              <w:jc w:val="center"/>
            </w:pPr>
            <w:r>
              <w:rPr>
                <w:rFonts w:hint="eastAsia" w:ascii="宋体" w:hAnsi="宋体" w:eastAsia="宋体" w:cs="宋体"/>
                <w:i w:val="0"/>
                <w:iCs w:val="0"/>
                <w:caps w:val="0"/>
                <w:color w:val="000000"/>
                <w:spacing w:val="0"/>
                <w:kern w:val="0"/>
                <w:sz w:val="20"/>
                <w:szCs w:val="20"/>
                <w:bdr w:val="none" w:color="auto" w:sz="0" w:space="0"/>
              </w:rPr>
              <w:t>结果维持</w:t>
            </w:r>
          </w:p>
        </w:tc>
        <w:tc>
          <w:tcPr>
            <w:tcW w:w="619" w:type="dxa"/>
            <w:vMerge w:val="restart"/>
            <w:tcBorders>
              <w:top w:val="nil"/>
              <w:left w:val="nil"/>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widowControl/>
              <w:suppressLineNumbers w:val="0"/>
              <w:wordWrap w:val="0"/>
              <w:spacing w:before="0" w:beforeAutospacing="0" w:after="0" w:afterAutospacing="0" w:line="560" w:lineRule="atLeast"/>
              <w:ind w:left="0" w:right="0" w:firstLine="0"/>
              <w:jc w:val="center"/>
            </w:pPr>
            <w:r>
              <w:rPr>
                <w:rFonts w:hint="eastAsia" w:ascii="宋体" w:hAnsi="宋体" w:eastAsia="宋体" w:cs="宋体"/>
                <w:i w:val="0"/>
                <w:iCs w:val="0"/>
                <w:caps w:val="0"/>
                <w:color w:val="000000"/>
                <w:spacing w:val="0"/>
                <w:kern w:val="0"/>
                <w:sz w:val="20"/>
                <w:szCs w:val="20"/>
                <w:bdr w:val="none" w:color="auto" w:sz="0" w:space="0"/>
              </w:rPr>
              <w:t>结果</w:t>
            </w:r>
            <w:r>
              <w:rPr>
                <w:rFonts w:hint="eastAsia" w:ascii="宋体" w:hAnsi="宋体" w:eastAsia="宋体" w:cs="宋体"/>
                <w:i w:val="0"/>
                <w:iCs w:val="0"/>
                <w:caps w:val="0"/>
                <w:color w:val="000000"/>
                <w:spacing w:val="0"/>
                <w:kern w:val="0"/>
                <w:sz w:val="20"/>
                <w:szCs w:val="20"/>
                <w:bdr w:val="none" w:color="auto" w:sz="0" w:space="0"/>
              </w:rPr>
              <w:br w:type="textWrapping"/>
            </w:r>
            <w:r>
              <w:rPr>
                <w:rFonts w:hint="eastAsia" w:ascii="宋体" w:hAnsi="宋体" w:eastAsia="宋体" w:cs="宋体"/>
                <w:i w:val="0"/>
                <w:iCs w:val="0"/>
                <w:caps w:val="0"/>
                <w:color w:val="000000"/>
                <w:spacing w:val="0"/>
                <w:kern w:val="0"/>
                <w:sz w:val="20"/>
                <w:szCs w:val="20"/>
                <w:bdr w:val="none" w:color="auto" w:sz="0" w:space="0"/>
              </w:rPr>
              <w:t>纠正</w:t>
            </w:r>
          </w:p>
        </w:tc>
        <w:tc>
          <w:tcPr>
            <w:tcW w:w="619" w:type="dxa"/>
            <w:vMerge w:val="restart"/>
            <w:tcBorders>
              <w:top w:val="single" w:color="auto" w:sz="8" w:space="0"/>
              <w:left w:val="nil"/>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widowControl/>
              <w:suppressLineNumbers w:val="0"/>
              <w:wordWrap w:val="0"/>
              <w:spacing w:before="0" w:beforeAutospacing="0" w:after="0" w:afterAutospacing="0" w:line="560" w:lineRule="atLeast"/>
              <w:ind w:left="0" w:right="0" w:firstLine="0"/>
              <w:jc w:val="center"/>
            </w:pPr>
            <w:r>
              <w:rPr>
                <w:rFonts w:hint="eastAsia" w:ascii="宋体" w:hAnsi="宋体" w:eastAsia="宋体" w:cs="宋体"/>
                <w:i w:val="0"/>
                <w:iCs w:val="0"/>
                <w:caps w:val="0"/>
                <w:color w:val="000000"/>
                <w:spacing w:val="0"/>
                <w:kern w:val="0"/>
                <w:sz w:val="20"/>
                <w:szCs w:val="20"/>
                <w:bdr w:val="none" w:color="auto" w:sz="0" w:space="0"/>
              </w:rPr>
              <w:t>其他</w:t>
            </w:r>
            <w:r>
              <w:rPr>
                <w:rFonts w:hint="eastAsia" w:ascii="宋体" w:hAnsi="宋体" w:eastAsia="宋体" w:cs="宋体"/>
                <w:i w:val="0"/>
                <w:iCs w:val="0"/>
                <w:caps w:val="0"/>
                <w:color w:val="000000"/>
                <w:spacing w:val="0"/>
                <w:kern w:val="0"/>
                <w:sz w:val="20"/>
                <w:szCs w:val="20"/>
                <w:bdr w:val="none" w:color="auto" w:sz="0" w:space="0"/>
              </w:rPr>
              <w:br w:type="textWrapping"/>
            </w:r>
            <w:r>
              <w:rPr>
                <w:rFonts w:hint="eastAsia" w:ascii="宋体" w:hAnsi="宋体" w:eastAsia="宋体" w:cs="宋体"/>
                <w:i w:val="0"/>
                <w:iCs w:val="0"/>
                <w:caps w:val="0"/>
                <w:color w:val="000000"/>
                <w:spacing w:val="0"/>
                <w:kern w:val="0"/>
                <w:sz w:val="20"/>
                <w:szCs w:val="20"/>
                <w:bdr w:val="none" w:color="auto" w:sz="0" w:space="0"/>
              </w:rPr>
              <w:t>结果</w:t>
            </w:r>
          </w:p>
        </w:tc>
        <w:tc>
          <w:tcPr>
            <w:tcW w:w="619" w:type="dxa"/>
            <w:vMerge w:val="restart"/>
            <w:tcBorders>
              <w:top w:val="single" w:color="auto" w:sz="8" w:space="0"/>
              <w:left w:val="nil"/>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widowControl/>
              <w:suppressLineNumbers w:val="0"/>
              <w:wordWrap w:val="0"/>
              <w:spacing w:before="0" w:beforeAutospacing="0" w:after="0" w:afterAutospacing="0" w:line="560" w:lineRule="atLeast"/>
              <w:ind w:left="0" w:right="0" w:firstLine="0"/>
              <w:jc w:val="center"/>
            </w:pPr>
            <w:r>
              <w:rPr>
                <w:rFonts w:hint="eastAsia" w:ascii="宋体" w:hAnsi="宋体" w:eastAsia="宋体" w:cs="宋体"/>
                <w:i w:val="0"/>
                <w:iCs w:val="0"/>
                <w:caps w:val="0"/>
                <w:color w:val="000000"/>
                <w:spacing w:val="0"/>
                <w:kern w:val="0"/>
                <w:sz w:val="20"/>
                <w:szCs w:val="20"/>
                <w:bdr w:val="none" w:color="auto" w:sz="0" w:space="0"/>
              </w:rPr>
              <w:t>尚未</w:t>
            </w:r>
            <w:r>
              <w:rPr>
                <w:rFonts w:hint="eastAsia" w:ascii="宋体" w:hAnsi="宋体" w:eastAsia="宋体" w:cs="宋体"/>
                <w:i w:val="0"/>
                <w:iCs w:val="0"/>
                <w:caps w:val="0"/>
                <w:color w:val="000000"/>
                <w:spacing w:val="0"/>
                <w:kern w:val="0"/>
                <w:sz w:val="20"/>
                <w:szCs w:val="20"/>
                <w:bdr w:val="none" w:color="auto" w:sz="0" w:space="0"/>
              </w:rPr>
              <w:br w:type="textWrapping"/>
            </w:r>
            <w:r>
              <w:rPr>
                <w:rFonts w:hint="eastAsia" w:ascii="宋体" w:hAnsi="宋体" w:eastAsia="宋体" w:cs="宋体"/>
                <w:i w:val="0"/>
                <w:iCs w:val="0"/>
                <w:caps w:val="0"/>
                <w:color w:val="000000"/>
                <w:spacing w:val="0"/>
                <w:kern w:val="0"/>
                <w:sz w:val="20"/>
                <w:szCs w:val="20"/>
                <w:bdr w:val="none" w:color="auto" w:sz="0" w:space="0"/>
              </w:rPr>
              <w:t>审结</w:t>
            </w:r>
          </w:p>
        </w:tc>
        <w:tc>
          <w:tcPr>
            <w:tcW w:w="619" w:type="dxa"/>
            <w:vMerge w:val="restart"/>
            <w:tcBorders>
              <w:top w:val="single" w:color="auto" w:sz="8" w:space="0"/>
              <w:left w:val="nil"/>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widowControl/>
              <w:suppressLineNumbers w:val="0"/>
              <w:wordWrap w:val="0"/>
              <w:spacing w:before="0" w:beforeAutospacing="0" w:after="0" w:afterAutospacing="0" w:line="560" w:lineRule="atLeast"/>
              <w:ind w:left="0" w:right="0" w:firstLine="0"/>
              <w:jc w:val="center"/>
            </w:pPr>
            <w:r>
              <w:rPr>
                <w:rFonts w:hint="eastAsia" w:ascii="宋体" w:hAnsi="宋体" w:eastAsia="宋体" w:cs="宋体"/>
                <w:i w:val="0"/>
                <w:iCs w:val="0"/>
                <w:caps w:val="0"/>
                <w:color w:val="000000"/>
                <w:spacing w:val="0"/>
                <w:kern w:val="0"/>
                <w:sz w:val="20"/>
                <w:szCs w:val="20"/>
                <w:bdr w:val="none" w:color="auto" w:sz="0" w:space="0"/>
              </w:rPr>
              <w:t>总计</w:t>
            </w:r>
          </w:p>
        </w:tc>
        <w:tc>
          <w:tcPr>
            <w:tcW w:w="3095" w:type="dxa"/>
            <w:gridSpan w:val="5"/>
            <w:tcBorders>
              <w:top w:val="single" w:color="auto" w:sz="8" w:space="0"/>
              <w:left w:val="nil"/>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i w:val="0"/>
                <w:iCs w:val="0"/>
                <w:caps w:val="0"/>
                <w:color w:val="000000"/>
                <w:spacing w:val="0"/>
                <w:kern w:val="0"/>
                <w:sz w:val="20"/>
                <w:szCs w:val="20"/>
                <w:bdr w:val="none" w:color="auto" w:sz="0" w:space="0"/>
              </w:rPr>
              <w:t>未经复议直接起诉</w:t>
            </w:r>
          </w:p>
        </w:tc>
        <w:tc>
          <w:tcPr>
            <w:tcW w:w="3098" w:type="dxa"/>
            <w:gridSpan w:val="5"/>
            <w:tcBorders>
              <w:top w:val="single" w:color="auto" w:sz="8" w:space="0"/>
              <w:left w:val="nil"/>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i w:val="0"/>
                <w:iCs w:val="0"/>
                <w:caps w:val="0"/>
                <w:color w:val="000000"/>
                <w:spacing w:val="0"/>
                <w:kern w:val="0"/>
                <w:sz w:val="20"/>
                <w:szCs w:val="20"/>
                <w:bdr w:val="none" w:color="auto" w:sz="0" w:space="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9" w:type="dxa"/>
            <w:vMerge w:val="continue"/>
            <w:tcBorders>
              <w:top w:val="nil"/>
              <w:left w:val="single" w:color="auto" w:sz="8" w:space="0"/>
              <w:bottom w:val="single" w:color="auto" w:sz="8" w:space="0"/>
              <w:right w:val="single" w:color="auto" w:sz="8" w:space="0"/>
            </w:tcBorders>
            <w:shd w:val="clear" w:color="auto" w:fill="FFFFFF"/>
            <w:tcMar>
              <w:top w:w="0" w:type="dxa"/>
              <w:left w:w="23" w:type="dxa"/>
              <w:bottom w:w="0" w:type="dxa"/>
              <w:right w:w="23" w:type="dxa"/>
            </w:tcMar>
            <w:vAlign w:val="center"/>
          </w:tcPr>
          <w:p>
            <w:pPr>
              <w:rPr>
                <w:rFonts w:hint="eastAsia" w:ascii="宋体"/>
                <w:sz w:val="24"/>
                <w:szCs w:val="24"/>
              </w:rPr>
            </w:pPr>
          </w:p>
        </w:tc>
        <w:tc>
          <w:tcPr>
            <w:tcW w:w="619" w:type="dxa"/>
            <w:vMerge w:val="continue"/>
            <w:tcBorders>
              <w:top w:val="nil"/>
              <w:left w:val="nil"/>
              <w:bottom w:val="single" w:color="auto" w:sz="8" w:space="0"/>
              <w:right w:val="single" w:color="auto" w:sz="8" w:space="0"/>
            </w:tcBorders>
            <w:shd w:val="clear" w:color="auto" w:fill="FFFFFF"/>
            <w:tcMar>
              <w:top w:w="0" w:type="dxa"/>
              <w:left w:w="23" w:type="dxa"/>
              <w:bottom w:w="0" w:type="dxa"/>
              <w:right w:w="23" w:type="dxa"/>
            </w:tcMar>
            <w:vAlign w:val="center"/>
          </w:tcPr>
          <w:p>
            <w:pPr>
              <w:rPr>
                <w:rFonts w:hint="eastAsia" w:ascii="宋体"/>
                <w:sz w:val="24"/>
                <w:szCs w:val="24"/>
              </w:rPr>
            </w:pPr>
          </w:p>
        </w:tc>
        <w:tc>
          <w:tcPr>
            <w:tcW w:w="619" w:type="dxa"/>
            <w:vMerge w:val="continue"/>
            <w:tcBorders>
              <w:top w:val="single" w:color="auto" w:sz="8" w:space="0"/>
              <w:left w:val="nil"/>
              <w:bottom w:val="single" w:color="auto" w:sz="8" w:space="0"/>
              <w:right w:val="single" w:color="auto" w:sz="8" w:space="0"/>
            </w:tcBorders>
            <w:shd w:val="clear" w:color="auto" w:fill="FFFFFF"/>
            <w:tcMar>
              <w:top w:w="0" w:type="dxa"/>
              <w:left w:w="23" w:type="dxa"/>
              <w:bottom w:w="0" w:type="dxa"/>
              <w:right w:w="23" w:type="dxa"/>
            </w:tcMar>
            <w:vAlign w:val="center"/>
          </w:tcPr>
          <w:p>
            <w:pPr>
              <w:rPr>
                <w:rFonts w:hint="eastAsia" w:ascii="宋体"/>
                <w:sz w:val="24"/>
                <w:szCs w:val="24"/>
              </w:rPr>
            </w:pPr>
          </w:p>
        </w:tc>
        <w:tc>
          <w:tcPr>
            <w:tcW w:w="619" w:type="dxa"/>
            <w:vMerge w:val="continue"/>
            <w:tcBorders>
              <w:top w:val="single" w:color="auto" w:sz="8" w:space="0"/>
              <w:left w:val="nil"/>
              <w:bottom w:val="single" w:color="auto" w:sz="8" w:space="0"/>
              <w:right w:val="single" w:color="auto" w:sz="8" w:space="0"/>
            </w:tcBorders>
            <w:shd w:val="clear" w:color="auto" w:fill="FFFFFF"/>
            <w:tcMar>
              <w:top w:w="0" w:type="dxa"/>
              <w:left w:w="23" w:type="dxa"/>
              <w:bottom w:w="0" w:type="dxa"/>
              <w:right w:w="23" w:type="dxa"/>
            </w:tcMar>
            <w:vAlign w:val="center"/>
          </w:tcPr>
          <w:p>
            <w:pPr>
              <w:rPr>
                <w:rFonts w:hint="eastAsia" w:ascii="宋体"/>
                <w:sz w:val="24"/>
                <w:szCs w:val="24"/>
              </w:rPr>
            </w:pPr>
          </w:p>
        </w:tc>
        <w:tc>
          <w:tcPr>
            <w:tcW w:w="619" w:type="dxa"/>
            <w:vMerge w:val="continue"/>
            <w:tcBorders>
              <w:top w:val="single" w:color="auto" w:sz="8" w:space="0"/>
              <w:left w:val="nil"/>
              <w:bottom w:val="single" w:color="auto" w:sz="8" w:space="0"/>
              <w:right w:val="single" w:color="auto" w:sz="8" w:space="0"/>
            </w:tcBorders>
            <w:shd w:val="clear" w:color="auto" w:fill="FFFFFF"/>
            <w:tcMar>
              <w:top w:w="0" w:type="dxa"/>
              <w:left w:w="23" w:type="dxa"/>
              <w:bottom w:w="0" w:type="dxa"/>
              <w:right w:w="23" w:type="dxa"/>
            </w:tcMar>
            <w:vAlign w:val="center"/>
          </w:tcPr>
          <w:p>
            <w:pPr>
              <w:rPr>
                <w:rFonts w:hint="eastAsia" w:ascii="宋体"/>
                <w:sz w:val="24"/>
                <w:szCs w:val="24"/>
              </w:rPr>
            </w:pPr>
          </w:p>
        </w:tc>
        <w:tc>
          <w:tcPr>
            <w:tcW w:w="619" w:type="dxa"/>
            <w:tcBorders>
              <w:top w:val="nil"/>
              <w:left w:val="nil"/>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widowControl/>
              <w:suppressLineNumbers w:val="0"/>
              <w:wordWrap w:val="0"/>
              <w:spacing w:before="0" w:beforeAutospacing="0" w:after="0" w:afterAutospacing="0" w:line="560" w:lineRule="atLeast"/>
              <w:ind w:left="0" w:right="0" w:firstLine="0"/>
              <w:jc w:val="center"/>
            </w:pPr>
            <w:r>
              <w:rPr>
                <w:rFonts w:hint="eastAsia" w:ascii="宋体" w:hAnsi="宋体" w:eastAsia="宋体" w:cs="宋体"/>
                <w:i w:val="0"/>
                <w:iCs w:val="0"/>
                <w:caps w:val="0"/>
                <w:color w:val="000000"/>
                <w:spacing w:val="0"/>
                <w:kern w:val="0"/>
                <w:sz w:val="20"/>
                <w:szCs w:val="20"/>
                <w:bdr w:val="none" w:color="auto" w:sz="0" w:space="0"/>
              </w:rPr>
              <w:t>结果</w:t>
            </w:r>
            <w:r>
              <w:rPr>
                <w:rFonts w:hint="eastAsia" w:ascii="宋体" w:hAnsi="宋体" w:eastAsia="宋体" w:cs="宋体"/>
                <w:i w:val="0"/>
                <w:iCs w:val="0"/>
                <w:caps w:val="0"/>
                <w:color w:val="000000"/>
                <w:spacing w:val="0"/>
                <w:kern w:val="0"/>
                <w:sz w:val="20"/>
                <w:szCs w:val="20"/>
                <w:bdr w:val="none" w:color="auto" w:sz="0" w:space="0"/>
              </w:rPr>
              <w:br w:type="textWrapping"/>
            </w:r>
            <w:r>
              <w:rPr>
                <w:rFonts w:hint="eastAsia" w:ascii="宋体" w:hAnsi="宋体" w:eastAsia="宋体" w:cs="宋体"/>
                <w:i w:val="0"/>
                <w:iCs w:val="0"/>
                <w:caps w:val="0"/>
                <w:color w:val="000000"/>
                <w:spacing w:val="0"/>
                <w:kern w:val="0"/>
                <w:sz w:val="20"/>
                <w:szCs w:val="20"/>
                <w:bdr w:val="none" w:color="auto" w:sz="0" w:space="0"/>
              </w:rPr>
              <w:t>维持</w:t>
            </w:r>
          </w:p>
        </w:tc>
        <w:tc>
          <w:tcPr>
            <w:tcW w:w="619" w:type="dxa"/>
            <w:tcBorders>
              <w:top w:val="nil"/>
              <w:left w:val="nil"/>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widowControl/>
              <w:suppressLineNumbers w:val="0"/>
              <w:wordWrap w:val="0"/>
              <w:spacing w:before="0" w:beforeAutospacing="0" w:after="0" w:afterAutospacing="0" w:line="560" w:lineRule="atLeast"/>
              <w:ind w:left="0" w:right="0" w:firstLine="0"/>
              <w:jc w:val="center"/>
            </w:pPr>
            <w:r>
              <w:rPr>
                <w:rFonts w:hint="eastAsia" w:ascii="宋体" w:hAnsi="宋体" w:eastAsia="宋体" w:cs="宋体"/>
                <w:i w:val="0"/>
                <w:iCs w:val="0"/>
                <w:caps w:val="0"/>
                <w:color w:val="000000"/>
                <w:spacing w:val="0"/>
                <w:kern w:val="0"/>
                <w:sz w:val="20"/>
                <w:szCs w:val="20"/>
                <w:bdr w:val="none" w:color="auto" w:sz="0" w:space="0"/>
              </w:rPr>
              <w:t>结果</w:t>
            </w:r>
            <w:r>
              <w:rPr>
                <w:rFonts w:hint="eastAsia" w:ascii="宋体" w:hAnsi="宋体" w:eastAsia="宋体" w:cs="宋体"/>
                <w:i w:val="0"/>
                <w:iCs w:val="0"/>
                <w:caps w:val="0"/>
                <w:color w:val="000000"/>
                <w:spacing w:val="0"/>
                <w:kern w:val="0"/>
                <w:sz w:val="20"/>
                <w:szCs w:val="20"/>
                <w:bdr w:val="none" w:color="auto" w:sz="0" w:space="0"/>
              </w:rPr>
              <w:br w:type="textWrapping"/>
            </w:r>
            <w:r>
              <w:rPr>
                <w:rFonts w:hint="eastAsia" w:ascii="宋体" w:hAnsi="宋体" w:eastAsia="宋体" w:cs="宋体"/>
                <w:i w:val="0"/>
                <w:iCs w:val="0"/>
                <w:caps w:val="0"/>
                <w:color w:val="000000"/>
                <w:spacing w:val="0"/>
                <w:kern w:val="0"/>
                <w:sz w:val="20"/>
                <w:szCs w:val="20"/>
                <w:bdr w:val="none" w:color="auto" w:sz="0" w:space="0"/>
              </w:rPr>
              <w:t>纠正</w:t>
            </w:r>
          </w:p>
        </w:tc>
        <w:tc>
          <w:tcPr>
            <w:tcW w:w="619" w:type="dxa"/>
            <w:tcBorders>
              <w:top w:val="single" w:color="auto" w:sz="8" w:space="0"/>
              <w:left w:val="nil"/>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widowControl/>
              <w:suppressLineNumbers w:val="0"/>
              <w:wordWrap w:val="0"/>
              <w:spacing w:before="0" w:beforeAutospacing="0" w:after="0" w:afterAutospacing="0" w:line="560" w:lineRule="atLeast"/>
              <w:ind w:left="0" w:right="0" w:firstLine="0"/>
              <w:jc w:val="center"/>
            </w:pPr>
            <w:r>
              <w:rPr>
                <w:rFonts w:hint="eastAsia" w:ascii="宋体" w:hAnsi="宋体" w:eastAsia="宋体" w:cs="宋体"/>
                <w:i w:val="0"/>
                <w:iCs w:val="0"/>
                <w:caps w:val="0"/>
                <w:color w:val="000000"/>
                <w:spacing w:val="0"/>
                <w:kern w:val="0"/>
                <w:sz w:val="20"/>
                <w:szCs w:val="20"/>
                <w:bdr w:val="none" w:color="auto" w:sz="0" w:space="0"/>
              </w:rPr>
              <w:t>其他</w:t>
            </w:r>
            <w:r>
              <w:rPr>
                <w:rFonts w:hint="eastAsia" w:ascii="宋体" w:hAnsi="宋体" w:eastAsia="宋体" w:cs="宋体"/>
                <w:i w:val="0"/>
                <w:iCs w:val="0"/>
                <w:caps w:val="0"/>
                <w:color w:val="000000"/>
                <w:spacing w:val="0"/>
                <w:kern w:val="0"/>
                <w:sz w:val="20"/>
                <w:szCs w:val="20"/>
                <w:bdr w:val="none" w:color="auto" w:sz="0" w:space="0"/>
              </w:rPr>
              <w:br w:type="textWrapping"/>
            </w:r>
            <w:r>
              <w:rPr>
                <w:rFonts w:hint="eastAsia" w:ascii="宋体" w:hAnsi="宋体" w:eastAsia="宋体" w:cs="宋体"/>
                <w:i w:val="0"/>
                <w:iCs w:val="0"/>
                <w:caps w:val="0"/>
                <w:color w:val="000000"/>
                <w:spacing w:val="0"/>
                <w:kern w:val="0"/>
                <w:sz w:val="20"/>
                <w:szCs w:val="20"/>
                <w:bdr w:val="none" w:color="auto" w:sz="0" w:space="0"/>
              </w:rPr>
              <w:t>结果</w:t>
            </w:r>
          </w:p>
        </w:tc>
        <w:tc>
          <w:tcPr>
            <w:tcW w:w="619" w:type="dxa"/>
            <w:tcBorders>
              <w:top w:val="single" w:color="auto" w:sz="8" w:space="0"/>
              <w:left w:val="nil"/>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widowControl/>
              <w:suppressLineNumbers w:val="0"/>
              <w:wordWrap w:val="0"/>
              <w:spacing w:before="0" w:beforeAutospacing="0" w:after="0" w:afterAutospacing="0" w:line="560" w:lineRule="atLeast"/>
              <w:ind w:left="0" w:right="0" w:firstLine="0"/>
              <w:jc w:val="center"/>
            </w:pPr>
            <w:r>
              <w:rPr>
                <w:rFonts w:hint="eastAsia" w:ascii="宋体" w:hAnsi="宋体" w:eastAsia="宋体" w:cs="宋体"/>
                <w:i w:val="0"/>
                <w:iCs w:val="0"/>
                <w:caps w:val="0"/>
                <w:color w:val="000000"/>
                <w:spacing w:val="0"/>
                <w:kern w:val="0"/>
                <w:sz w:val="20"/>
                <w:szCs w:val="20"/>
                <w:bdr w:val="none" w:color="auto" w:sz="0" w:space="0"/>
              </w:rPr>
              <w:t>尚未</w:t>
            </w:r>
            <w:r>
              <w:rPr>
                <w:rFonts w:hint="eastAsia" w:ascii="宋体" w:hAnsi="宋体" w:eastAsia="宋体" w:cs="宋体"/>
                <w:i w:val="0"/>
                <w:iCs w:val="0"/>
                <w:caps w:val="0"/>
                <w:color w:val="000000"/>
                <w:spacing w:val="0"/>
                <w:kern w:val="0"/>
                <w:sz w:val="20"/>
                <w:szCs w:val="20"/>
                <w:bdr w:val="none" w:color="auto" w:sz="0" w:space="0"/>
              </w:rPr>
              <w:br w:type="textWrapping"/>
            </w:r>
            <w:r>
              <w:rPr>
                <w:rFonts w:hint="eastAsia" w:ascii="宋体" w:hAnsi="宋体" w:eastAsia="宋体" w:cs="宋体"/>
                <w:i w:val="0"/>
                <w:iCs w:val="0"/>
                <w:caps w:val="0"/>
                <w:color w:val="000000"/>
                <w:spacing w:val="0"/>
                <w:kern w:val="0"/>
                <w:sz w:val="20"/>
                <w:szCs w:val="20"/>
                <w:bdr w:val="none" w:color="auto" w:sz="0" w:space="0"/>
              </w:rPr>
              <w:t>审结</w:t>
            </w:r>
          </w:p>
        </w:tc>
        <w:tc>
          <w:tcPr>
            <w:tcW w:w="619" w:type="dxa"/>
            <w:tcBorders>
              <w:top w:val="single" w:color="auto" w:sz="8" w:space="0"/>
              <w:left w:val="nil"/>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widowControl/>
              <w:suppressLineNumbers w:val="0"/>
              <w:wordWrap w:val="0"/>
              <w:spacing w:before="0" w:beforeAutospacing="0" w:after="0" w:afterAutospacing="0" w:line="560" w:lineRule="atLeast"/>
              <w:ind w:left="0" w:right="0" w:firstLine="0"/>
              <w:jc w:val="center"/>
            </w:pPr>
            <w:r>
              <w:rPr>
                <w:rFonts w:hint="eastAsia" w:ascii="宋体" w:hAnsi="宋体" w:eastAsia="宋体" w:cs="宋体"/>
                <w:i w:val="0"/>
                <w:iCs w:val="0"/>
                <w:caps w:val="0"/>
                <w:color w:val="000000"/>
                <w:spacing w:val="0"/>
                <w:kern w:val="0"/>
                <w:sz w:val="20"/>
                <w:szCs w:val="20"/>
                <w:bdr w:val="none" w:color="auto" w:sz="0" w:space="0"/>
              </w:rPr>
              <w:t>总计</w:t>
            </w:r>
          </w:p>
        </w:tc>
        <w:tc>
          <w:tcPr>
            <w:tcW w:w="619" w:type="dxa"/>
            <w:tcBorders>
              <w:top w:val="single" w:color="auto" w:sz="8" w:space="0"/>
              <w:left w:val="nil"/>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widowControl/>
              <w:suppressLineNumbers w:val="0"/>
              <w:wordWrap w:val="0"/>
              <w:spacing w:before="0" w:beforeAutospacing="0" w:after="0" w:afterAutospacing="0" w:line="560" w:lineRule="atLeast"/>
              <w:ind w:left="0" w:right="0" w:firstLine="0"/>
              <w:jc w:val="center"/>
            </w:pPr>
            <w:r>
              <w:rPr>
                <w:rFonts w:hint="eastAsia" w:ascii="宋体" w:hAnsi="宋体" w:eastAsia="宋体" w:cs="宋体"/>
                <w:i w:val="0"/>
                <w:iCs w:val="0"/>
                <w:caps w:val="0"/>
                <w:color w:val="000000"/>
                <w:spacing w:val="0"/>
                <w:kern w:val="0"/>
                <w:sz w:val="20"/>
                <w:szCs w:val="20"/>
                <w:bdr w:val="none" w:color="auto" w:sz="0" w:space="0"/>
              </w:rPr>
              <w:t>结果</w:t>
            </w:r>
            <w:r>
              <w:rPr>
                <w:rFonts w:hint="eastAsia" w:ascii="宋体" w:hAnsi="宋体" w:eastAsia="宋体" w:cs="宋体"/>
                <w:i w:val="0"/>
                <w:iCs w:val="0"/>
                <w:caps w:val="0"/>
                <w:color w:val="000000"/>
                <w:spacing w:val="0"/>
                <w:kern w:val="0"/>
                <w:sz w:val="20"/>
                <w:szCs w:val="20"/>
                <w:bdr w:val="none" w:color="auto" w:sz="0" w:space="0"/>
              </w:rPr>
              <w:br w:type="textWrapping"/>
            </w:r>
            <w:r>
              <w:rPr>
                <w:rFonts w:hint="eastAsia" w:ascii="宋体" w:hAnsi="宋体" w:eastAsia="宋体" w:cs="宋体"/>
                <w:i w:val="0"/>
                <w:iCs w:val="0"/>
                <w:caps w:val="0"/>
                <w:color w:val="000000"/>
                <w:spacing w:val="0"/>
                <w:kern w:val="0"/>
                <w:sz w:val="20"/>
                <w:szCs w:val="20"/>
                <w:bdr w:val="none" w:color="auto" w:sz="0" w:space="0"/>
              </w:rPr>
              <w:t>维持</w:t>
            </w:r>
          </w:p>
        </w:tc>
        <w:tc>
          <w:tcPr>
            <w:tcW w:w="619" w:type="dxa"/>
            <w:tcBorders>
              <w:top w:val="single" w:color="auto" w:sz="8" w:space="0"/>
              <w:left w:val="nil"/>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widowControl/>
              <w:suppressLineNumbers w:val="0"/>
              <w:wordWrap w:val="0"/>
              <w:spacing w:before="0" w:beforeAutospacing="0" w:after="0" w:afterAutospacing="0" w:line="560" w:lineRule="atLeast"/>
              <w:ind w:left="0" w:right="0" w:firstLine="0"/>
              <w:jc w:val="center"/>
            </w:pPr>
            <w:r>
              <w:rPr>
                <w:rFonts w:hint="eastAsia" w:ascii="宋体" w:hAnsi="宋体" w:eastAsia="宋体" w:cs="宋体"/>
                <w:i w:val="0"/>
                <w:iCs w:val="0"/>
                <w:caps w:val="0"/>
                <w:color w:val="000000"/>
                <w:spacing w:val="0"/>
                <w:kern w:val="0"/>
                <w:sz w:val="20"/>
                <w:szCs w:val="20"/>
                <w:bdr w:val="none" w:color="auto" w:sz="0" w:space="0"/>
              </w:rPr>
              <w:t>结果</w:t>
            </w:r>
            <w:r>
              <w:rPr>
                <w:rFonts w:hint="eastAsia" w:ascii="宋体" w:hAnsi="宋体" w:eastAsia="宋体" w:cs="宋体"/>
                <w:i w:val="0"/>
                <w:iCs w:val="0"/>
                <w:caps w:val="0"/>
                <w:color w:val="000000"/>
                <w:spacing w:val="0"/>
                <w:kern w:val="0"/>
                <w:sz w:val="20"/>
                <w:szCs w:val="20"/>
                <w:bdr w:val="none" w:color="auto" w:sz="0" w:space="0"/>
              </w:rPr>
              <w:br w:type="textWrapping"/>
            </w:r>
            <w:r>
              <w:rPr>
                <w:rFonts w:hint="eastAsia" w:ascii="宋体" w:hAnsi="宋体" w:eastAsia="宋体" w:cs="宋体"/>
                <w:i w:val="0"/>
                <w:iCs w:val="0"/>
                <w:caps w:val="0"/>
                <w:color w:val="000000"/>
                <w:spacing w:val="0"/>
                <w:kern w:val="0"/>
                <w:sz w:val="20"/>
                <w:szCs w:val="20"/>
                <w:bdr w:val="none" w:color="auto" w:sz="0" w:space="0"/>
              </w:rPr>
              <w:t>纠正</w:t>
            </w:r>
          </w:p>
        </w:tc>
        <w:tc>
          <w:tcPr>
            <w:tcW w:w="620" w:type="dxa"/>
            <w:tcBorders>
              <w:top w:val="single" w:color="auto" w:sz="8" w:space="0"/>
              <w:left w:val="nil"/>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widowControl/>
              <w:suppressLineNumbers w:val="0"/>
              <w:wordWrap w:val="0"/>
              <w:spacing w:before="0" w:beforeAutospacing="0" w:after="0" w:afterAutospacing="0" w:line="560" w:lineRule="atLeast"/>
              <w:ind w:left="0" w:right="0" w:firstLine="0"/>
              <w:jc w:val="center"/>
            </w:pPr>
            <w:r>
              <w:rPr>
                <w:rFonts w:hint="eastAsia" w:ascii="宋体" w:hAnsi="宋体" w:eastAsia="宋体" w:cs="宋体"/>
                <w:i w:val="0"/>
                <w:iCs w:val="0"/>
                <w:caps w:val="0"/>
                <w:color w:val="000000"/>
                <w:spacing w:val="0"/>
                <w:kern w:val="0"/>
                <w:sz w:val="20"/>
                <w:szCs w:val="20"/>
                <w:bdr w:val="none" w:color="auto" w:sz="0" w:space="0"/>
              </w:rPr>
              <w:t>其他</w:t>
            </w:r>
            <w:r>
              <w:rPr>
                <w:rFonts w:hint="eastAsia" w:ascii="宋体" w:hAnsi="宋体" w:eastAsia="宋体" w:cs="宋体"/>
                <w:i w:val="0"/>
                <w:iCs w:val="0"/>
                <w:caps w:val="0"/>
                <w:color w:val="000000"/>
                <w:spacing w:val="0"/>
                <w:kern w:val="0"/>
                <w:sz w:val="20"/>
                <w:szCs w:val="20"/>
                <w:bdr w:val="none" w:color="auto" w:sz="0" w:space="0"/>
              </w:rPr>
              <w:br w:type="textWrapping"/>
            </w:r>
            <w:r>
              <w:rPr>
                <w:rFonts w:hint="eastAsia" w:ascii="宋体" w:hAnsi="宋体" w:eastAsia="宋体" w:cs="宋体"/>
                <w:i w:val="0"/>
                <w:iCs w:val="0"/>
                <w:caps w:val="0"/>
                <w:color w:val="000000"/>
                <w:spacing w:val="0"/>
                <w:kern w:val="0"/>
                <w:sz w:val="20"/>
                <w:szCs w:val="20"/>
                <w:bdr w:val="none" w:color="auto" w:sz="0" w:space="0"/>
              </w:rPr>
              <w:t>结果</w:t>
            </w:r>
          </w:p>
        </w:tc>
        <w:tc>
          <w:tcPr>
            <w:tcW w:w="620" w:type="dxa"/>
            <w:tcBorders>
              <w:top w:val="single" w:color="auto" w:sz="8" w:space="0"/>
              <w:left w:val="nil"/>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widowControl/>
              <w:suppressLineNumbers w:val="0"/>
              <w:wordWrap w:val="0"/>
              <w:spacing w:before="0" w:beforeAutospacing="0" w:after="0" w:afterAutospacing="0" w:line="560" w:lineRule="atLeast"/>
              <w:ind w:left="0" w:right="0" w:firstLine="0"/>
              <w:jc w:val="center"/>
            </w:pPr>
            <w:r>
              <w:rPr>
                <w:rFonts w:hint="eastAsia" w:ascii="宋体" w:hAnsi="宋体" w:eastAsia="宋体" w:cs="宋体"/>
                <w:i w:val="0"/>
                <w:iCs w:val="0"/>
                <w:caps w:val="0"/>
                <w:color w:val="000000"/>
                <w:spacing w:val="0"/>
                <w:kern w:val="0"/>
                <w:sz w:val="20"/>
                <w:szCs w:val="20"/>
                <w:bdr w:val="none" w:color="auto" w:sz="0" w:space="0"/>
              </w:rPr>
              <w:t>尚未</w:t>
            </w:r>
            <w:r>
              <w:rPr>
                <w:rFonts w:hint="eastAsia" w:ascii="宋体" w:hAnsi="宋体" w:eastAsia="宋体" w:cs="宋体"/>
                <w:i w:val="0"/>
                <w:iCs w:val="0"/>
                <w:caps w:val="0"/>
                <w:color w:val="000000"/>
                <w:spacing w:val="0"/>
                <w:kern w:val="0"/>
                <w:sz w:val="20"/>
                <w:szCs w:val="20"/>
                <w:bdr w:val="none" w:color="auto" w:sz="0" w:space="0"/>
              </w:rPr>
              <w:br w:type="textWrapping"/>
            </w:r>
            <w:r>
              <w:rPr>
                <w:rFonts w:hint="eastAsia" w:ascii="宋体" w:hAnsi="宋体" w:eastAsia="宋体" w:cs="宋体"/>
                <w:i w:val="0"/>
                <w:iCs w:val="0"/>
                <w:caps w:val="0"/>
                <w:color w:val="000000"/>
                <w:spacing w:val="0"/>
                <w:kern w:val="0"/>
                <w:sz w:val="20"/>
                <w:szCs w:val="20"/>
                <w:bdr w:val="none" w:color="auto" w:sz="0" w:space="0"/>
              </w:rPr>
              <w:t>审结</w:t>
            </w:r>
          </w:p>
        </w:tc>
        <w:tc>
          <w:tcPr>
            <w:tcW w:w="620" w:type="dxa"/>
            <w:tcBorders>
              <w:top w:val="single" w:color="auto" w:sz="8" w:space="0"/>
              <w:left w:val="nil"/>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widowControl/>
              <w:suppressLineNumbers w:val="0"/>
              <w:wordWrap w:val="0"/>
              <w:spacing w:before="0" w:beforeAutospacing="0" w:after="0" w:afterAutospacing="0" w:line="560" w:lineRule="atLeast"/>
              <w:ind w:left="0" w:right="0" w:firstLine="0"/>
              <w:jc w:val="center"/>
            </w:pPr>
            <w:r>
              <w:rPr>
                <w:rFonts w:hint="eastAsia" w:ascii="宋体" w:hAnsi="宋体" w:eastAsia="宋体" w:cs="宋体"/>
                <w:i w:val="0"/>
                <w:iCs w:val="0"/>
                <w:caps w:val="0"/>
                <w:color w:val="000000"/>
                <w:spacing w:val="0"/>
                <w:kern w:val="0"/>
                <w:sz w:val="20"/>
                <w:szCs w:val="20"/>
                <w:bdr w:val="none" w:color="auto" w:sz="0" w:space="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19" w:type="dxa"/>
            <w:tcBorders>
              <w:top w:val="nil"/>
              <w:left w:val="single" w:color="auto" w:sz="8" w:space="0"/>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i w:val="0"/>
                <w:iCs w:val="0"/>
                <w:caps w:val="0"/>
                <w:color w:val="000000"/>
                <w:spacing w:val="0"/>
                <w:kern w:val="0"/>
                <w:sz w:val="22"/>
                <w:szCs w:val="22"/>
                <w:bdr w:val="none" w:color="auto" w:sz="0" w:space="0"/>
              </w:rPr>
              <w:t>0</w:t>
            </w:r>
          </w:p>
        </w:tc>
        <w:tc>
          <w:tcPr>
            <w:tcW w:w="619" w:type="dxa"/>
            <w:tcBorders>
              <w:top w:val="nil"/>
              <w:left w:val="nil"/>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i w:val="0"/>
                <w:iCs w:val="0"/>
                <w:caps w:val="0"/>
                <w:color w:val="000000"/>
                <w:spacing w:val="0"/>
                <w:kern w:val="0"/>
                <w:sz w:val="22"/>
                <w:szCs w:val="22"/>
                <w:bdr w:val="none" w:color="auto" w:sz="0" w:space="0"/>
              </w:rPr>
              <w:t>0</w:t>
            </w:r>
          </w:p>
        </w:tc>
        <w:tc>
          <w:tcPr>
            <w:tcW w:w="619" w:type="dxa"/>
            <w:tcBorders>
              <w:top w:val="nil"/>
              <w:left w:val="nil"/>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i w:val="0"/>
                <w:iCs w:val="0"/>
                <w:caps w:val="0"/>
                <w:color w:val="000000"/>
                <w:spacing w:val="0"/>
                <w:kern w:val="0"/>
                <w:sz w:val="22"/>
                <w:szCs w:val="22"/>
                <w:bdr w:val="none" w:color="auto" w:sz="0" w:space="0"/>
              </w:rPr>
              <w:t>0</w:t>
            </w:r>
          </w:p>
        </w:tc>
        <w:tc>
          <w:tcPr>
            <w:tcW w:w="619" w:type="dxa"/>
            <w:tcBorders>
              <w:top w:val="nil"/>
              <w:left w:val="nil"/>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i w:val="0"/>
                <w:iCs w:val="0"/>
                <w:caps w:val="0"/>
                <w:color w:val="000000"/>
                <w:spacing w:val="0"/>
                <w:kern w:val="0"/>
                <w:sz w:val="22"/>
                <w:szCs w:val="22"/>
                <w:bdr w:val="none" w:color="auto" w:sz="0" w:space="0"/>
              </w:rPr>
              <w:t>0</w:t>
            </w:r>
          </w:p>
        </w:tc>
        <w:tc>
          <w:tcPr>
            <w:tcW w:w="619" w:type="dxa"/>
            <w:tcBorders>
              <w:top w:val="nil"/>
              <w:left w:val="nil"/>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i w:val="0"/>
                <w:iCs w:val="0"/>
                <w:caps w:val="0"/>
                <w:color w:val="000000"/>
                <w:spacing w:val="0"/>
                <w:kern w:val="0"/>
                <w:sz w:val="22"/>
                <w:szCs w:val="22"/>
                <w:bdr w:val="none" w:color="auto" w:sz="0" w:space="0"/>
              </w:rPr>
              <w:t>0</w:t>
            </w:r>
          </w:p>
        </w:tc>
        <w:tc>
          <w:tcPr>
            <w:tcW w:w="619" w:type="dxa"/>
            <w:tcBorders>
              <w:top w:val="nil"/>
              <w:left w:val="nil"/>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i w:val="0"/>
                <w:iCs w:val="0"/>
                <w:caps w:val="0"/>
                <w:color w:val="000000"/>
                <w:spacing w:val="0"/>
                <w:kern w:val="0"/>
                <w:sz w:val="22"/>
                <w:szCs w:val="22"/>
                <w:bdr w:val="none" w:color="auto" w:sz="0" w:space="0"/>
              </w:rPr>
              <w:t>0</w:t>
            </w:r>
          </w:p>
        </w:tc>
        <w:tc>
          <w:tcPr>
            <w:tcW w:w="619" w:type="dxa"/>
            <w:tcBorders>
              <w:top w:val="nil"/>
              <w:left w:val="nil"/>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i w:val="0"/>
                <w:iCs w:val="0"/>
                <w:caps w:val="0"/>
                <w:color w:val="000000"/>
                <w:spacing w:val="0"/>
                <w:kern w:val="0"/>
                <w:sz w:val="22"/>
                <w:szCs w:val="22"/>
                <w:bdr w:val="none" w:color="auto" w:sz="0" w:space="0"/>
              </w:rPr>
              <w:t>0</w:t>
            </w:r>
          </w:p>
        </w:tc>
        <w:tc>
          <w:tcPr>
            <w:tcW w:w="619" w:type="dxa"/>
            <w:tcBorders>
              <w:top w:val="nil"/>
              <w:left w:val="nil"/>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i w:val="0"/>
                <w:iCs w:val="0"/>
                <w:caps w:val="0"/>
                <w:color w:val="000000"/>
                <w:spacing w:val="0"/>
                <w:kern w:val="0"/>
                <w:sz w:val="22"/>
                <w:szCs w:val="22"/>
                <w:bdr w:val="none" w:color="auto" w:sz="0" w:space="0"/>
              </w:rPr>
              <w:t>0</w:t>
            </w:r>
          </w:p>
        </w:tc>
        <w:tc>
          <w:tcPr>
            <w:tcW w:w="619" w:type="dxa"/>
            <w:tcBorders>
              <w:top w:val="nil"/>
              <w:left w:val="nil"/>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i w:val="0"/>
                <w:iCs w:val="0"/>
                <w:caps w:val="0"/>
                <w:color w:val="000000"/>
                <w:spacing w:val="0"/>
                <w:kern w:val="0"/>
                <w:sz w:val="22"/>
                <w:szCs w:val="22"/>
                <w:bdr w:val="none" w:color="auto" w:sz="0" w:space="0"/>
              </w:rPr>
              <w:t>0</w:t>
            </w:r>
          </w:p>
        </w:tc>
        <w:tc>
          <w:tcPr>
            <w:tcW w:w="619" w:type="dxa"/>
            <w:tcBorders>
              <w:top w:val="nil"/>
              <w:left w:val="nil"/>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i w:val="0"/>
                <w:iCs w:val="0"/>
                <w:caps w:val="0"/>
                <w:color w:val="000000"/>
                <w:spacing w:val="0"/>
                <w:kern w:val="0"/>
                <w:sz w:val="22"/>
                <w:szCs w:val="22"/>
                <w:bdr w:val="none" w:color="auto" w:sz="0" w:space="0"/>
              </w:rPr>
              <w:t>0</w:t>
            </w:r>
          </w:p>
        </w:tc>
        <w:tc>
          <w:tcPr>
            <w:tcW w:w="619" w:type="dxa"/>
            <w:tcBorders>
              <w:top w:val="nil"/>
              <w:left w:val="nil"/>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i w:val="0"/>
                <w:iCs w:val="0"/>
                <w:caps w:val="0"/>
                <w:color w:val="000000"/>
                <w:spacing w:val="0"/>
                <w:kern w:val="0"/>
                <w:sz w:val="22"/>
                <w:szCs w:val="22"/>
                <w:bdr w:val="none" w:color="auto" w:sz="0" w:space="0"/>
              </w:rPr>
              <w:t>0</w:t>
            </w:r>
          </w:p>
        </w:tc>
        <w:tc>
          <w:tcPr>
            <w:tcW w:w="619" w:type="dxa"/>
            <w:tcBorders>
              <w:top w:val="nil"/>
              <w:left w:val="nil"/>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i w:val="0"/>
                <w:iCs w:val="0"/>
                <w:caps w:val="0"/>
                <w:color w:val="000000"/>
                <w:spacing w:val="0"/>
                <w:kern w:val="0"/>
                <w:sz w:val="22"/>
                <w:szCs w:val="22"/>
                <w:bdr w:val="none" w:color="auto" w:sz="0" w:space="0"/>
              </w:rPr>
              <w:t>0</w:t>
            </w:r>
          </w:p>
        </w:tc>
        <w:tc>
          <w:tcPr>
            <w:tcW w:w="620" w:type="dxa"/>
            <w:tcBorders>
              <w:top w:val="nil"/>
              <w:left w:val="nil"/>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i w:val="0"/>
                <w:iCs w:val="0"/>
                <w:caps w:val="0"/>
                <w:color w:val="000000"/>
                <w:spacing w:val="0"/>
                <w:kern w:val="0"/>
                <w:sz w:val="22"/>
                <w:szCs w:val="22"/>
                <w:bdr w:val="none" w:color="auto" w:sz="0" w:space="0"/>
              </w:rPr>
              <w:t>0</w:t>
            </w:r>
          </w:p>
        </w:tc>
        <w:tc>
          <w:tcPr>
            <w:tcW w:w="620" w:type="dxa"/>
            <w:tcBorders>
              <w:top w:val="nil"/>
              <w:left w:val="nil"/>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i w:val="0"/>
                <w:iCs w:val="0"/>
                <w:caps w:val="0"/>
                <w:color w:val="000000"/>
                <w:spacing w:val="0"/>
                <w:kern w:val="0"/>
                <w:sz w:val="22"/>
                <w:szCs w:val="22"/>
                <w:bdr w:val="none" w:color="auto" w:sz="0" w:space="0"/>
              </w:rPr>
              <w:t>0</w:t>
            </w:r>
          </w:p>
        </w:tc>
        <w:tc>
          <w:tcPr>
            <w:tcW w:w="620" w:type="dxa"/>
            <w:tcBorders>
              <w:top w:val="nil"/>
              <w:left w:val="nil"/>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widowControl/>
              <w:suppressLineNumbers w:val="0"/>
              <w:wordWrap w:val="0"/>
              <w:spacing w:before="0" w:beforeAutospacing="0" w:after="0" w:afterAutospacing="0" w:line="560" w:lineRule="atLeast"/>
              <w:ind w:left="0" w:right="0"/>
              <w:jc w:val="center"/>
            </w:pPr>
            <w:r>
              <w:rPr>
                <w:rFonts w:hint="eastAsia" w:ascii="宋体" w:hAnsi="宋体" w:eastAsia="宋体" w:cs="宋体"/>
                <w:i w:val="0"/>
                <w:iCs w:val="0"/>
                <w:caps w:val="0"/>
                <w:color w:val="000000"/>
                <w:spacing w:val="0"/>
                <w:kern w:val="0"/>
                <w:sz w:val="22"/>
                <w:szCs w:val="22"/>
                <w:bdr w:val="none" w:color="auto" w:sz="0" w:space="0"/>
              </w:rPr>
              <w:t>0</w:t>
            </w:r>
          </w:p>
        </w:tc>
      </w:tr>
    </w:tbl>
    <w:p>
      <w:pPr>
        <w:pStyle w:val="2"/>
        <w:keepNext w:val="0"/>
        <w:keepLines w:val="0"/>
        <w:widowControl/>
        <w:suppressLineNumbers w:val="0"/>
        <w:spacing w:before="0" w:beforeAutospacing="0" w:after="105" w:afterAutospacing="0" w:line="240" w:lineRule="atLeast"/>
        <w:ind w:left="0" w:right="0" w:firstLine="420" w:firstLineChars="0"/>
        <w:jc w:val="both"/>
      </w:pPr>
      <w:r>
        <w:rPr>
          <w:rFonts w:hint="eastAsia" w:ascii="微软雅黑" w:hAnsi="微软雅黑" w:eastAsia="微软雅黑" w:cs="微软雅黑"/>
          <w:b/>
          <w:bCs/>
          <w:kern w:val="0"/>
          <w:sz w:val="28"/>
          <w:szCs w:val="28"/>
        </w:rPr>
        <w:t>五、政府信息公开工作存在的主要问题及改进情况</w:t>
      </w:r>
    </w:p>
    <w:p>
      <w:pPr>
        <w:pStyle w:val="2"/>
        <w:keepNext w:val="0"/>
        <w:keepLines w:val="0"/>
        <w:widowControl/>
        <w:suppressLineNumbers w:val="0"/>
        <w:spacing w:before="0" w:beforeAutospacing="0" w:after="105" w:afterAutospacing="0" w:line="240" w:lineRule="atLeast"/>
        <w:ind w:left="0" w:right="0" w:firstLine="420"/>
        <w:jc w:val="both"/>
      </w:pPr>
      <w:r>
        <w:rPr>
          <w:rFonts w:hint="eastAsia" w:ascii="微软雅黑" w:hAnsi="微软雅黑" w:eastAsia="微软雅黑" w:cs="微软雅黑"/>
          <w:kern w:val="0"/>
          <w:sz w:val="28"/>
          <w:szCs w:val="28"/>
        </w:rPr>
        <w:t>2020年，我镇政府信息公开工作虽取得了一定成效，但离人民群众的要求还有一定的差距，一是政务信息公开力度有待进一步加大；二是政务信息公开的内容还不够全面；三是信息公开更新还不够及时。对此，我镇高度重视，下一步，将采取多项措施提高人民群众对我镇的满意度。</w:t>
      </w:r>
    </w:p>
    <w:p>
      <w:pPr>
        <w:pStyle w:val="2"/>
        <w:keepNext w:val="0"/>
        <w:keepLines w:val="0"/>
        <w:widowControl/>
        <w:suppressLineNumbers w:val="0"/>
        <w:spacing w:before="0" w:beforeAutospacing="0" w:after="105" w:afterAutospacing="0" w:line="240" w:lineRule="atLeast"/>
        <w:ind w:left="0" w:right="0" w:firstLine="420"/>
        <w:jc w:val="both"/>
      </w:pPr>
      <w:r>
        <w:rPr>
          <w:rFonts w:hint="eastAsia" w:ascii="微软雅黑" w:hAnsi="微软雅黑" w:eastAsia="微软雅黑" w:cs="微软雅黑"/>
          <w:kern w:val="0"/>
          <w:sz w:val="28"/>
          <w:szCs w:val="28"/>
        </w:rPr>
        <w:t>（一）加强互动，深化内容，满足群众需求。加强与群众之间的互动，坚持以公开促服务，切实提高信息公开的实效性。重点推进与社会发展和群众生活密切相关的政府信息公开工作，全面、及时、规范地做好政府信息公开工作。全力做好涉及专业性强、公众关注度高的规范性文件、重大决定事项的解读工作，方便公众理解信息。</w:t>
      </w:r>
    </w:p>
    <w:p>
      <w:pPr>
        <w:pStyle w:val="2"/>
        <w:keepNext w:val="0"/>
        <w:keepLines w:val="0"/>
        <w:widowControl/>
        <w:suppressLineNumbers w:val="0"/>
        <w:spacing w:before="0" w:beforeAutospacing="0" w:after="105" w:afterAutospacing="0" w:line="240" w:lineRule="atLeast"/>
        <w:ind w:left="0" w:right="0" w:firstLine="420"/>
        <w:jc w:val="both"/>
      </w:pPr>
      <w:r>
        <w:rPr>
          <w:rFonts w:hint="eastAsia" w:ascii="微软雅黑" w:hAnsi="微软雅黑" w:eastAsia="微软雅黑" w:cs="微软雅黑"/>
          <w:kern w:val="0"/>
          <w:sz w:val="28"/>
          <w:szCs w:val="28"/>
        </w:rPr>
        <w:t>（二）加大力度，提高质量，增强服务意识。以推进政府信息公开为抓手，将推进政府信息公开与深化行政改革有机结合起来，与反腐倡廉结合起来，努力从源头上防止腐败。努力提高政府信息公开的质量，进一步转变观念，增强政府信息公开的互动性，提高群众参与的积极性，将全镇依法应予公开的信息集中汇总，加大宣传力度，便于群众查询。进一步完善信息公开制度，将政府信息公开工作纳入到依法行政工作考核的内容，落实到各站办所的信息员，保证信息公开的全面性、及时性，并充实信息公开内容。</w:t>
      </w:r>
    </w:p>
    <w:p>
      <w:pPr>
        <w:pStyle w:val="2"/>
        <w:keepNext w:val="0"/>
        <w:keepLines w:val="0"/>
        <w:widowControl/>
        <w:suppressLineNumbers w:val="0"/>
        <w:spacing w:before="0" w:beforeAutospacing="0" w:after="105" w:afterAutospacing="0" w:line="240" w:lineRule="atLeast"/>
        <w:ind w:left="0" w:right="0" w:firstLine="420"/>
        <w:jc w:val="both"/>
      </w:pPr>
      <w:r>
        <w:rPr>
          <w:rFonts w:hint="eastAsia" w:ascii="微软雅黑" w:hAnsi="微软雅黑" w:eastAsia="微软雅黑" w:cs="微软雅黑"/>
          <w:kern w:val="0"/>
          <w:sz w:val="28"/>
          <w:szCs w:val="28"/>
        </w:rPr>
        <w:t>（三）改进手段，畅通渠道，扩大公开范围。积极利用、规范信息公开形式和载体，拓宽公开范围和渠道，着重抓好项目建设、园区建设、环境保护、城乡建设、安全生产、精准扶贫、社会保障等方面政府信息公开，确保政府信息公开工作有力有序有效地推。</w:t>
      </w:r>
    </w:p>
    <w:p>
      <w:pPr>
        <w:pStyle w:val="2"/>
        <w:keepNext w:val="0"/>
        <w:keepLines w:val="0"/>
        <w:widowControl/>
        <w:suppressLineNumbers w:val="0"/>
        <w:spacing w:before="0" w:beforeAutospacing="0" w:after="105" w:afterAutospacing="0" w:line="240" w:lineRule="atLeast"/>
        <w:ind w:left="0" w:right="0" w:firstLine="420"/>
        <w:jc w:val="both"/>
      </w:pPr>
      <w:r>
        <w:rPr>
          <w:rFonts w:hint="eastAsia" w:ascii="微软雅黑" w:hAnsi="微软雅黑" w:eastAsia="微软雅黑" w:cs="微软雅黑"/>
          <w:b/>
          <w:bCs/>
          <w:kern w:val="0"/>
          <w:sz w:val="28"/>
          <w:szCs w:val="28"/>
        </w:rPr>
        <w:t>六、其他需要报告的事项</w:t>
      </w:r>
    </w:p>
    <w:p>
      <w:pPr>
        <w:pStyle w:val="2"/>
        <w:keepNext w:val="0"/>
        <w:keepLines w:val="0"/>
        <w:widowControl/>
        <w:suppressLineNumbers w:val="0"/>
        <w:spacing w:before="0" w:beforeAutospacing="0" w:after="105" w:afterAutospacing="0" w:line="240" w:lineRule="atLeast"/>
        <w:ind w:left="0" w:right="0" w:firstLine="420"/>
        <w:jc w:val="both"/>
      </w:pPr>
      <w:r>
        <w:rPr>
          <w:rFonts w:hint="eastAsia" w:ascii="微软雅黑" w:hAnsi="微软雅黑" w:eastAsia="微软雅黑" w:cs="微软雅黑"/>
          <w:kern w:val="0"/>
          <w:sz w:val="28"/>
          <w:szCs w:val="28"/>
        </w:rPr>
        <w:t>2020年度，本机关无收取信息处理费情况。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xOWI1MTI1ZWU2NjEzMjNiMzNhYjAyNTI0ZTM0M2MifQ=="/>
  </w:docVars>
  <w:rsids>
    <w:rsidRoot w:val="00000000"/>
    <w:rsid w:val="64235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2024-05-09T03:53:43Z</dcterms:created>
  <dc:creator>Administrator</dc:creator>
  <cp:lastModifiedBy>园园</cp:lastModifiedBy>
  <dcterms:modified xsi:type="dcterms:W3CDTF">2024-05-09T03:54:08Z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9A2893C24EE443F7A5EBAF6FC505C8E2_12</vt:lpwstr>
  </property>
</Properties>
</file>