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樟树市商务局2021年政府信息公开工作</w:t>
      </w:r>
    </w:p>
    <w:p>
      <w:pPr>
        <w:keepNext w:val="0"/>
        <w:keepLines w:val="0"/>
        <w:pageBreakBefore w:val="0"/>
        <w:widowControl w:val="0"/>
        <w:shd w:val="clear"/>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年度报告</w:t>
      </w:r>
    </w:p>
    <w:p>
      <w:pPr>
        <w:pStyle w:val="2"/>
        <w:keepNext w:val="0"/>
        <w:keepLines w:val="0"/>
        <w:widowControl/>
        <w:suppressLineNumbers w:val="0"/>
        <w:autoSpaceDE w:val="0"/>
        <w:autoSpaceDN/>
        <w:spacing w:line="555" w:lineRule="atLeast"/>
        <w:ind w:left="0" w:firstLine="630"/>
      </w:pPr>
      <w:r>
        <w:rPr>
          <w:rFonts w:ascii="仿宋_GB2312" w:hAnsi="仿宋_GB2312" w:eastAsia="仿宋_GB2312" w:cs="仿宋_GB2312"/>
          <w:sz w:val="31"/>
          <w:szCs w:val="31"/>
        </w:rPr>
        <w:t>本报告依据《中华人民共和国政府信息公开条例》（国务院令第</w:t>
      </w:r>
      <w:r>
        <w:rPr>
          <w:rFonts w:ascii="仿宋" w:hAnsi="仿宋" w:eastAsia="仿宋" w:cs="仿宋"/>
          <w:sz w:val="31"/>
          <w:szCs w:val="31"/>
        </w:rPr>
        <w:t>711</w:t>
      </w:r>
      <w:r>
        <w:rPr>
          <w:rFonts w:hint="eastAsia" w:ascii="仿宋_GB2312" w:hAnsi="仿宋_GB2312" w:eastAsia="仿宋_GB2312" w:cs="仿宋_GB2312"/>
          <w:sz w:val="31"/>
          <w:szCs w:val="31"/>
        </w:rPr>
        <w:t>号，以下简称新《条例》）和《国务院办公厅政府信息与政务公开办公室关于政府信息公开工作年度报告有关事项的通知》（国办公开办函〔</w:t>
      </w:r>
      <w:r>
        <w:rPr>
          <w:rFonts w:hint="eastAsia" w:ascii="仿宋" w:hAnsi="仿宋" w:eastAsia="仿宋" w:cs="仿宋"/>
          <w:sz w:val="31"/>
          <w:szCs w:val="31"/>
        </w:rPr>
        <w:t>20</w:t>
      </w:r>
      <w:r>
        <w:rPr>
          <w:rFonts w:hint="eastAsia" w:ascii="仿宋" w:hAnsi="仿宋" w:eastAsia="仿宋" w:cs="仿宋"/>
          <w:sz w:val="31"/>
          <w:szCs w:val="31"/>
          <w:lang w:val="en-US" w:eastAsia="zh-CN"/>
        </w:rPr>
        <w:t>21</w:t>
      </w:r>
      <w:r>
        <w:rPr>
          <w:rFonts w:hint="eastAsia" w:ascii="仿宋_GB2312" w:hAnsi="仿宋_GB2312" w:eastAsia="仿宋_GB2312" w:cs="仿宋_GB2312"/>
          <w:sz w:val="31"/>
          <w:szCs w:val="31"/>
        </w:rPr>
        <w:t>〕</w:t>
      </w:r>
      <w:r>
        <w:rPr>
          <w:rFonts w:hint="eastAsia" w:ascii="仿宋" w:hAnsi="仿宋" w:eastAsia="仿宋" w:cs="仿宋"/>
          <w:sz w:val="31"/>
          <w:szCs w:val="31"/>
          <w:lang w:val="en-US" w:eastAsia="zh-CN"/>
        </w:rPr>
        <w:t>3</w:t>
      </w:r>
      <w:r>
        <w:rPr>
          <w:rFonts w:hint="eastAsia" w:ascii="仿宋" w:hAnsi="仿宋" w:eastAsia="仿宋" w:cs="仿宋"/>
          <w:sz w:val="31"/>
          <w:szCs w:val="31"/>
        </w:rPr>
        <w:t>0</w:t>
      </w:r>
      <w:r>
        <w:rPr>
          <w:rFonts w:hint="eastAsia" w:ascii="仿宋_GB2312" w:hAnsi="仿宋_GB2312" w:eastAsia="仿宋_GB2312" w:cs="仿宋_GB2312"/>
          <w:sz w:val="31"/>
          <w:szCs w:val="31"/>
        </w:rPr>
        <w:t>号）要求，由樟树市商务局结合樟树市人民政府网站、樟树市政府信息公开平台等有关统计数据编制。本年度报告中所列数据的统计期限自</w:t>
      </w:r>
      <w:r>
        <w:rPr>
          <w:rFonts w:hint="eastAsia" w:ascii="仿宋" w:hAnsi="仿宋" w:eastAsia="仿宋" w:cs="仿宋"/>
          <w:sz w:val="31"/>
          <w:szCs w:val="31"/>
        </w:rPr>
        <w:t>2021</w:t>
      </w:r>
      <w:r>
        <w:rPr>
          <w:rFonts w:hint="eastAsia" w:ascii="仿宋_GB2312" w:hAnsi="仿宋_GB2312" w:eastAsia="仿宋_GB2312" w:cs="仿宋_GB2312"/>
          <w:sz w:val="31"/>
          <w:szCs w:val="31"/>
        </w:rPr>
        <w:t>年</w:t>
      </w:r>
      <w:r>
        <w:rPr>
          <w:rFonts w:hint="eastAsia" w:ascii="仿宋" w:hAnsi="仿宋" w:eastAsia="仿宋" w:cs="仿宋"/>
          <w:sz w:val="31"/>
          <w:szCs w:val="31"/>
        </w:rPr>
        <w:t>1</w:t>
      </w:r>
      <w:r>
        <w:rPr>
          <w:rFonts w:hint="eastAsia" w:ascii="仿宋_GB2312" w:hAnsi="仿宋_GB2312" w:eastAsia="仿宋_GB2312" w:cs="仿宋_GB2312"/>
          <w:sz w:val="31"/>
          <w:szCs w:val="31"/>
        </w:rPr>
        <w:t>月</w:t>
      </w:r>
      <w:r>
        <w:rPr>
          <w:rFonts w:hint="eastAsia" w:ascii="仿宋" w:hAnsi="仿宋" w:eastAsia="仿宋" w:cs="仿宋"/>
          <w:sz w:val="31"/>
          <w:szCs w:val="31"/>
        </w:rPr>
        <w:t>1</w:t>
      </w:r>
      <w:r>
        <w:rPr>
          <w:rFonts w:hint="eastAsia" w:ascii="仿宋_GB2312" w:hAnsi="仿宋_GB2312" w:eastAsia="仿宋_GB2312" w:cs="仿宋_GB2312"/>
          <w:sz w:val="31"/>
          <w:szCs w:val="31"/>
        </w:rPr>
        <w:t>日起至</w:t>
      </w:r>
      <w:r>
        <w:rPr>
          <w:rFonts w:hint="eastAsia" w:ascii="仿宋" w:hAnsi="仿宋" w:eastAsia="仿宋" w:cs="仿宋"/>
          <w:sz w:val="31"/>
          <w:szCs w:val="31"/>
        </w:rPr>
        <w:t>2021</w:t>
      </w:r>
      <w:r>
        <w:rPr>
          <w:rFonts w:hint="eastAsia" w:ascii="仿宋_GB2312" w:hAnsi="仿宋_GB2312" w:eastAsia="仿宋_GB2312" w:cs="仿宋_GB2312"/>
          <w:sz w:val="31"/>
          <w:szCs w:val="31"/>
        </w:rPr>
        <w:t>年</w:t>
      </w:r>
      <w:r>
        <w:rPr>
          <w:rFonts w:hint="eastAsia" w:ascii="仿宋" w:hAnsi="仿宋" w:eastAsia="仿宋" w:cs="仿宋"/>
          <w:sz w:val="31"/>
          <w:szCs w:val="31"/>
        </w:rPr>
        <w:t>12</w:t>
      </w:r>
      <w:r>
        <w:rPr>
          <w:rFonts w:hint="eastAsia" w:ascii="仿宋_GB2312" w:hAnsi="仿宋_GB2312" w:eastAsia="仿宋_GB2312" w:cs="仿宋_GB2312"/>
          <w:sz w:val="31"/>
          <w:szCs w:val="31"/>
        </w:rPr>
        <w:t>月</w:t>
      </w:r>
      <w:r>
        <w:rPr>
          <w:rFonts w:hint="eastAsia" w:ascii="仿宋" w:hAnsi="仿宋" w:eastAsia="仿宋" w:cs="仿宋"/>
          <w:sz w:val="31"/>
          <w:szCs w:val="31"/>
        </w:rPr>
        <w:t>31</w:t>
      </w:r>
      <w:r>
        <w:rPr>
          <w:rFonts w:hint="eastAsia" w:ascii="仿宋_GB2312" w:hAnsi="仿宋_GB2312" w:eastAsia="仿宋_GB2312" w:cs="仿宋_GB2312"/>
          <w:sz w:val="31"/>
          <w:szCs w:val="31"/>
        </w:rPr>
        <w:t>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w:t>
      </w:r>
      <w:r>
        <w:rPr>
          <w:rFonts w:hint="eastAsia" w:ascii="仿宋" w:hAnsi="仿宋" w:eastAsia="仿宋" w:cs="仿宋"/>
          <w:sz w:val="31"/>
          <w:szCs w:val="31"/>
        </w:rPr>
        <w:fldChar w:fldCharType="begin"/>
      </w:r>
      <w:r>
        <w:rPr>
          <w:rFonts w:hint="eastAsia" w:ascii="仿宋" w:hAnsi="仿宋" w:eastAsia="仿宋" w:cs="仿宋"/>
          <w:sz w:val="31"/>
          <w:szCs w:val="31"/>
        </w:rPr>
        <w:instrText xml:space="preserve"> HYPERLINK "樟树市商务局2021年政府信息公开工作.docx" </w:instrText>
      </w:r>
      <w:r>
        <w:rPr>
          <w:rFonts w:hint="eastAsia" w:ascii="仿宋" w:hAnsi="仿宋" w:eastAsia="仿宋" w:cs="仿宋"/>
          <w:sz w:val="31"/>
          <w:szCs w:val="31"/>
        </w:rPr>
        <w:fldChar w:fldCharType="separate"/>
      </w:r>
      <w:r>
        <w:rPr>
          <w:rStyle w:val="6"/>
          <w:rFonts w:hint="eastAsia" w:ascii="仿宋" w:hAnsi="仿宋" w:eastAsia="仿宋" w:cs="仿宋"/>
          <w:sz w:val="31"/>
          <w:szCs w:val="31"/>
        </w:rPr>
        <w:t>http://www.zhangshu.gov.cn</w:t>
      </w:r>
      <w:r>
        <w:rPr>
          <w:rFonts w:hint="eastAsia" w:ascii="仿宋" w:hAnsi="仿宋" w:eastAsia="仿宋" w:cs="仿宋"/>
          <w:sz w:val="31"/>
          <w:szCs w:val="31"/>
        </w:rPr>
        <w:fldChar w:fldCharType="end"/>
      </w:r>
      <w:r>
        <w:rPr>
          <w:rFonts w:hint="eastAsia" w:ascii="仿宋_GB2312" w:hAnsi="仿宋_GB2312" w:eastAsia="仿宋_GB2312" w:cs="仿宋_GB2312"/>
          <w:sz w:val="31"/>
          <w:szCs w:val="31"/>
        </w:rPr>
        <w:t>）下载。如对本报告有任何疑问，请与樟树市商务局联系（地址：樟树市葛玄路</w:t>
      </w:r>
      <w:r>
        <w:rPr>
          <w:rFonts w:hint="eastAsia" w:ascii="仿宋" w:hAnsi="仿宋" w:eastAsia="仿宋" w:cs="仿宋"/>
          <w:sz w:val="31"/>
          <w:szCs w:val="31"/>
        </w:rPr>
        <w:t>6</w:t>
      </w:r>
      <w:r>
        <w:rPr>
          <w:rFonts w:hint="eastAsia" w:ascii="仿宋_GB2312" w:hAnsi="仿宋_GB2312" w:eastAsia="仿宋_GB2312" w:cs="仿宋_GB2312"/>
          <w:sz w:val="31"/>
          <w:szCs w:val="31"/>
        </w:rPr>
        <w:t>号，电话：</w:t>
      </w:r>
      <w:r>
        <w:rPr>
          <w:rFonts w:hint="eastAsia" w:ascii="仿宋" w:hAnsi="仿宋" w:eastAsia="仿宋" w:cs="仿宋"/>
          <w:sz w:val="31"/>
          <w:szCs w:val="31"/>
        </w:rPr>
        <w:t>0795-7333665</w:t>
      </w:r>
      <w:r>
        <w:rPr>
          <w:rFonts w:hint="eastAsia" w:ascii="仿宋_GB2312" w:hAnsi="仿宋_GB2312" w:eastAsia="仿宋_GB2312" w:cs="仿宋_GB2312"/>
          <w:sz w:val="31"/>
          <w:szCs w:val="31"/>
        </w:rPr>
        <w:t>，邮编：</w:t>
      </w:r>
      <w:r>
        <w:rPr>
          <w:rFonts w:hint="eastAsia" w:ascii="仿宋" w:hAnsi="仿宋" w:eastAsia="仿宋" w:cs="仿宋"/>
          <w:sz w:val="31"/>
          <w:szCs w:val="31"/>
        </w:rPr>
        <w:t>331200</w:t>
      </w:r>
      <w:r>
        <w:rPr>
          <w:rFonts w:hint="eastAsia" w:ascii="仿宋_GB2312" w:hAnsi="仿宋_GB2312" w:eastAsia="仿宋_GB2312" w:cs="仿宋_GB2312"/>
          <w:sz w:val="31"/>
          <w:szCs w:val="31"/>
        </w:rPr>
        <w:t>）。</w:t>
      </w:r>
    </w:p>
    <w:p>
      <w:pPr>
        <w:pStyle w:val="2"/>
        <w:keepNext w:val="0"/>
        <w:keepLines w:val="0"/>
        <w:widowControl/>
        <w:suppressLineNumbers w:val="0"/>
        <w:autoSpaceDE w:val="0"/>
        <w:autoSpaceDN/>
        <w:spacing w:before="180" w:beforeAutospacing="0" w:after="120" w:afterAutospacing="0" w:line="555" w:lineRule="atLeast"/>
        <w:ind w:left="0" w:firstLine="630"/>
      </w:pPr>
      <w:r>
        <w:rPr>
          <w:rFonts w:ascii="黑体" w:hAnsi="宋体" w:eastAsia="黑体" w:cs="黑体"/>
          <w:sz w:val="31"/>
          <w:szCs w:val="31"/>
        </w:rPr>
        <w:t>一、总体情况</w:t>
      </w:r>
    </w:p>
    <w:p>
      <w:pPr>
        <w:pStyle w:val="2"/>
        <w:keepNext w:val="0"/>
        <w:keepLines w:val="0"/>
        <w:widowControl/>
        <w:suppressLineNumbers w:val="0"/>
        <w:autoSpaceDE w:val="0"/>
        <w:autoSpaceDN/>
        <w:spacing w:line="555" w:lineRule="atLeast"/>
        <w:ind w:left="0" w:firstLine="630"/>
      </w:pPr>
      <w:r>
        <w:rPr>
          <w:rFonts w:hint="eastAsia" w:ascii="仿宋_GB2312" w:hAnsi="仿宋_GB2312" w:eastAsia="仿宋_GB2312" w:cs="仿宋_GB2312"/>
          <w:sz w:val="31"/>
          <w:szCs w:val="31"/>
        </w:rPr>
        <w:t>2021年，市商务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认真学习《中华人民共和国政府信息公开条例》，进一步强化政府信息公开工作，不断完善工作机制，增强干部队伍的信息公开意识和责任意识，坚持以需求为导向，高标准严要求做好政府信息公开工作。</w:t>
      </w:r>
    </w:p>
    <w:p>
      <w:pPr>
        <w:pStyle w:val="2"/>
        <w:keepNext w:val="0"/>
        <w:keepLines w:val="0"/>
        <w:widowControl/>
        <w:suppressLineNumbers w:val="0"/>
        <w:autoSpaceDE w:val="0"/>
        <w:autoSpaceDN/>
        <w:spacing w:line="555" w:lineRule="atLeast"/>
        <w:ind w:left="0" w:firstLine="630"/>
      </w:pPr>
      <w:r>
        <w:rPr>
          <w:rStyle w:val="5"/>
          <w:rFonts w:ascii="楷体" w:hAnsi="楷体" w:eastAsia="楷体" w:cs="楷体"/>
          <w:sz w:val="31"/>
          <w:szCs w:val="31"/>
        </w:rPr>
        <w:t>(一)主动公开</w:t>
      </w:r>
    </w:p>
    <w:p>
      <w:pPr>
        <w:pStyle w:val="2"/>
        <w:keepNext w:val="0"/>
        <w:keepLines w:val="0"/>
        <w:widowControl/>
        <w:suppressLineNumbers w:val="0"/>
        <w:autoSpaceDE w:val="0"/>
        <w:autoSpaceDN/>
        <w:spacing w:line="555" w:lineRule="atLeast"/>
        <w:ind w:left="0" w:firstLine="630"/>
      </w:pPr>
      <w:r>
        <w:rPr>
          <w:rFonts w:hint="eastAsia" w:ascii="仿宋" w:hAnsi="仿宋" w:eastAsia="仿宋" w:cs="仿宋"/>
          <w:sz w:val="31"/>
          <w:szCs w:val="31"/>
        </w:rPr>
        <w:t>2021</w:t>
      </w:r>
      <w:r>
        <w:rPr>
          <w:rFonts w:hint="eastAsia" w:ascii="仿宋_GB2312" w:hAnsi="仿宋_GB2312" w:eastAsia="仿宋_GB2312" w:cs="仿宋_GB2312"/>
          <w:sz w:val="31"/>
          <w:szCs w:val="31"/>
        </w:rPr>
        <w:t>年度樟树市商务局政务公开累计公布</w:t>
      </w:r>
      <w:r>
        <w:rPr>
          <w:rFonts w:hint="eastAsia" w:ascii="仿宋" w:hAnsi="仿宋" w:eastAsia="仿宋" w:cs="仿宋"/>
          <w:sz w:val="31"/>
          <w:szCs w:val="31"/>
        </w:rPr>
        <w:t>47</w:t>
      </w:r>
      <w:r>
        <w:rPr>
          <w:rFonts w:hint="eastAsia" w:ascii="仿宋_GB2312" w:hAnsi="仿宋_GB2312" w:eastAsia="仿宋_GB2312" w:cs="仿宋_GB2312"/>
          <w:sz w:val="31"/>
          <w:szCs w:val="31"/>
        </w:rPr>
        <w:t>条信息，其中公开指南</w:t>
      </w:r>
      <w:r>
        <w:rPr>
          <w:rFonts w:hint="eastAsia" w:ascii="仿宋" w:hAnsi="仿宋" w:eastAsia="仿宋" w:cs="仿宋"/>
          <w:sz w:val="31"/>
          <w:szCs w:val="31"/>
        </w:rPr>
        <w:t>2</w:t>
      </w:r>
      <w:r>
        <w:rPr>
          <w:rFonts w:hint="eastAsia" w:ascii="仿宋_GB2312" w:hAnsi="仿宋_GB2312" w:eastAsia="仿宋_GB2312" w:cs="仿宋_GB2312"/>
          <w:sz w:val="31"/>
          <w:szCs w:val="31"/>
        </w:rPr>
        <w:t>条，工作动态</w:t>
      </w:r>
      <w:r>
        <w:rPr>
          <w:rFonts w:hint="eastAsia" w:ascii="仿宋" w:hAnsi="仿宋" w:eastAsia="仿宋" w:cs="仿宋"/>
          <w:sz w:val="31"/>
          <w:szCs w:val="31"/>
        </w:rPr>
        <w:t>27</w:t>
      </w:r>
      <w:r>
        <w:rPr>
          <w:rFonts w:hint="eastAsia" w:ascii="仿宋_GB2312" w:hAnsi="仿宋_GB2312" w:eastAsia="仿宋_GB2312" w:cs="仿宋_GB2312"/>
          <w:sz w:val="31"/>
          <w:szCs w:val="31"/>
        </w:rPr>
        <w:t>条，相关财政决算</w:t>
      </w:r>
      <w:r>
        <w:rPr>
          <w:rFonts w:hint="eastAsia" w:ascii="仿宋" w:hAnsi="仿宋" w:eastAsia="仿宋" w:cs="仿宋"/>
          <w:sz w:val="31"/>
          <w:szCs w:val="31"/>
        </w:rPr>
        <w:t>6</w:t>
      </w:r>
      <w:r>
        <w:rPr>
          <w:rFonts w:hint="eastAsia" w:ascii="仿宋_GB2312" w:hAnsi="仿宋_GB2312" w:eastAsia="仿宋_GB2312" w:cs="仿宋_GB2312"/>
          <w:sz w:val="31"/>
          <w:szCs w:val="31"/>
        </w:rPr>
        <w:t>条，政策文件、规划计划</w:t>
      </w:r>
      <w:r>
        <w:rPr>
          <w:rFonts w:hint="eastAsia" w:ascii="仿宋" w:hAnsi="仿宋" w:eastAsia="仿宋" w:cs="仿宋"/>
          <w:sz w:val="31"/>
          <w:szCs w:val="31"/>
        </w:rPr>
        <w:t>7</w:t>
      </w:r>
      <w:r>
        <w:rPr>
          <w:rFonts w:hint="eastAsia" w:ascii="仿宋_GB2312" w:hAnsi="仿宋_GB2312" w:eastAsia="仿宋_GB2312" w:cs="仿宋_GB2312"/>
          <w:sz w:val="31"/>
          <w:szCs w:val="31"/>
        </w:rPr>
        <w:t>条，机构职能</w:t>
      </w:r>
      <w:r>
        <w:rPr>
          <w:rFonts w:hint="eastAsia" w:ascii="仿宋" w:hAnsi="仿宋" w:eastAsia="仿宋" w:cs="仿宋"/>
          <w:sz w:val="31"/>
          <w:szCs w:val="31"/>
        </w:rPr>
        <w:t>3</w:t>
      </w:r>
      <w:r>
        <w:rPr>
          <w:rFonts w:hint="eastAsia" w:ascii="仿宋_GB2312" w:hAnsi="仿宋_GB2312" w:eastAsia="仿宋_GB2312" w:cs="仿宋_GB2312"/>
          <w:sz w:val="31"/>
          <w:szCs w:val="31"/>
        </w:rPr>
        <w:t>条。内容包括《樟树市商务局政府信息公开指南》、《樟树市进一步优化营商环境机制》、《樟树市电子信息产业园招商引资优惠政策》、《樟树市金融支持企业发展“十二条”意见》等相关政策文件。</w:t>
      </w:r>
    </w:p>
    <w:p>
      <w:pPr>
        <w:pStyle w:val="2"/>
        <w:keepNext w:val="0"/>
        <w:keepLines w:val="0"/>
        <w:widowControl/>
        <w:suppressLineNumbers w:val="0"/>
        <w:autoSpaceDE w:val="0"/>
        <w:autoSpaceDN/>
        <w:spacing w:line="555" w:lineRule="atLeast"/>
        <w:ind w:left="0" w:firstLine="630"/>
      </w:pPr>
      <w:r>
        <w:rPr>
          <w:rStyle w:val="5"/>
          <w:rFonts w:hint="eastAsia" w:ascii="楷体" w:hAnsi="楷体" w:eastAsia="楷体" w:cs="楷体"/>
          <w:sz w:val="31"/>
          <w:szCs w:val="31"/>
        </w:rPr>
        <w:t>(二)依申请公开</w:t>
      </w:r>
    </w:p>
    <w:p>
      <w:pPr>
        <w:pStyle w:val="2"/>
        <w:keepNext w:val="0"/>
        <w:keepLines w:val="0"/>
        <w:widowControl/>
        <w:suppressLineNumbers w:val="0"/>
        <w:autoSpaceDE w:val="0"/>
        <w:autoSpaceDN/>
        <w:spacing w:line="555" w:lineRule="atLeast"/>
        <w:ind w:left="0" w:firstLine="630"/>
      </w:pPr>
      <w:r>
        <w:rPr>
          <w:rFonts w:hint="eastAsia" w:ascii="仿宋_GB2312" w:hAnsi="仿宋_GB2312" w:eastAsia="仿宋_GB2312" w:cs="仿宋_GB2312"/>
          <w:sz w:val="31"/>
          <w:szCs w:val="31"/>
        </w:rPr>
        <w:t>深入推进依申请公开标准化管理，健全完善依申请公开的受理、登记、办理、审核、答复、归档等管理流程，遵循法定时限，规范答复口径，履行标准文本，提高依申请公开办理质量，保障公民、法人和其他组织获取政府信息的权利。</w:t>
      </w:r>
      <w:r>
        <w:rPr>
          <w:rFonts w:hint="eastAsia" w:ascii="仿宋" w:hAnsi="仿宋" w:eastAsia="仿宋" w:cs="仿宋"/>
          <w:sz w:val="31"/>
          <w:szCs w:val="31"/>
        </w:rPr>
        <w:t>2021</w:t>
      </w:r>
      <w:r>
        <w:rPr>
          <w:rFonts w:hint="eastAsia" w:ascii="仿宋_GB2312" w:hAnsi="仿宋_GB2312" w:eastAsia="仿宋_GB2312" w:cs="仿宋_GB2312"/>
          <w:sz w:val="31"/>
          <w:szCs w:val="31"/>
        </w:rPr>
        <w:t>年度暂无收到政府信息公开申请。</w:t>
      </w:r>
    </w:p>
    <w:p>
      <w:pPr>
        <w:pStyle w:val="2"/>
        <w:keepNext w:val="0"/>
        <w:keepLines w:val="0"/>
        <w:widowControl/>
        <w:suppressLineNumbers w:val="0"/>
        <w:autoSpaceDE w:val="0"/>
        <w:autoSpaceDN/>
        <w:spacing w:line="555" w:lineRule="atLeast"/>
        <w:ind w:left="0" w:firstLine="630"/>
      </w:pPr>
      <w:r>
        <w:rPr>
          <w:rStyle w:val="5"/>
          <w:rFonts w:hint="eastAsia" w:ascii="楷体" w:hAnsi="楷体" w:eastAsia="楷体" w:cs="楷体"/>
          <w:sz w:val="31"/>
          <w:szCs w:val="31"/>
        </w:rPr>
        <w:t>(三)政府信息管理</w:t>
      </w:r>
    </w:p>
    <w:p>
      <w:pPr>
        <w:pStyle w:val="2"/>
        <w:keepNext w:val="0"/>
        <w:keepLines w:val="0"/>
        <w:widowControl/>
        <w:suppressLineNumbers w:val="0"/>
        <w:autoSpaceDE w:val="0"/>
        <w:autoSpaceDN/>
        <w:spacing w:line="555" w:lineRule="atLeast"/>
        <w:ind w:left="0" w:firstLine="630"/>
      </w:pPr>
      <w:r>
        <w:rPr>
          <w:rFonts w:hint="eastAsia" w:ascii="仿宋_GB2312" w:hAnsi="仿宋_GB2312" w:eastAsia="仿宋_GB2312" w:cs="仿宋_GB2312"/>
          <w:sz w:val="31"/>
          <w:szCs w:val="31"/>
        </w:rPr>
        <w:t>加强组织领导，建立了常态化工作机制和信息发布审核制度，形成信息公开发布逐级审批、层层把关，发布前审核、发布后复查的工作闭环。同时安排专人从事政府信息公开工作，加强对工作人员的教育培训，确保信息实时动态更新，充分保障公众知情权，提高商务工作透明度。</w:t>
      </w:r>
    </w:p>
    <w:p>
      <w:pPr>
        <w:pStyle w:val="2"/>
        <w:keepNext w:val="0"/>
        <w:keepLines w:val="0"/>
        <w:widowControl/>
        <w:suppressLineNumbers w:val="0"/>
        <w:autoSpaceDE w:val="0"/>
        <w:autoSpaceDN/>
        <w:spacing w:line="555" w:lineRule="atLeast"/>
        <w:ind w:left="0" w:firstLine="630"/>
      </w:pPr>
      <w:r>
        <w:rPr>
          <w:rStyle w:val="5"/>
          <w:rFonts w:hint="eastAsia" w:ascii="楷体" w:hAnsi="楷体" w:eastAsia="楷体" w:cs="楷体"/>
          <w:sz w:val="31"/>
          <w:szCs w:val="31"/>
        </w:rPr>
        <w:t>（四）政府信息公开平台建设</w:t>
      </w:r>
    </w:p>
    <w:p>
      <w:pPr>
        <w:pStyle w:val="2"/>
        <w:keepNext w:val="0"/>
        <w:keepLines w:val="0"/>
        <w:widowControl/>
        <w:suppressLineNumbers w:val="0"/>
        <w:autoSpaceDE w:val="0"/>
        <w:autoSpaceDN/>
        <w:spacing w:line="555" w:lineRule="atLeast"/>
      </w:pPr>
      <w:r>
        <w:rPr>
          <w:rStyle w:val="5"/>
          <w:rFonts w:hint="eastAsia" w:ascii="楷体" w:hAnsi="楷体" w:eastAsia="楷体" w:cs="楷体"/>
          <w:sz w:val="31"/>
          <w:szCs w:val="31"/>
        </w:rPr>
        <w:t>   </w:t>
      </w:r>
      <w:r>
        <w:rPr>
          <w:rFonts w:hint="eastAsia" w:ascii="仿宋_GB2312" w:hAnsi="仿宋_GB2312" w:eastAsia="仿宋_GB2312" w:cs="仿宋_GB2312"/>
          <w:sz w:val="31"/>
          <w:szCs w:val="31"/>
        </w:rPr>
        <w:t> 市商务局以政府门户网站公开为主，重大政策发布时线上线下同步宣传的多渠道信息公开模式。主动公开相关政策文件，方便办事群众及时了解政府政策。</w:t>
      </w:r>
    </w:p>
    <w:p>
      <w:pPr>
        <w:pStyle w:val="2"/>
        <w:keepNext w:val="0"/>
        <w:keepLines w:val="0"/>
        <w:widowControl/>
        <w:suppressLineNumbers w:val="0"/>
        <w:autoSpaceDE w:val="0"/>
        <w:autoSpaceDN/>
        <w:spacing w:line="555" w:lineRule="atLeast"/>
        <w:ind w:left="0" w:firstLine="630"/>
      </w:pPr>
      <w:r>
        <w:rPr>
          <w:rStyle w:val="5"/>
          <w:rFonts w:hint="eastAsia" w:ascii="楷体" w:hAnsi="楷体" w:eastAsia="楷体" w:cs="楷体"/>
          <w:sz w:val="31"/>
          <w:szCs w:val="31"/>
        </w:rPr>
        <w:t>（五）监督保障</w:t>
      </w:r>
    </w:p>
    <w:p>
      <w:pPr>
        <w:pStyle w:val="2"/>
        <w:keepNext w:val="0"/>
        <w:keepLines w:val="0"/>
        <w:widowControl/>
        <w:suppressLineNumbers w:val="0"/>
        <w:autoSpaceDE w:val="0"/>
        <w:autoSpaceDN/>
        <w:spacing w:line="555" w:lineRule="atLeast"/>
        <w:ind w:left="0" w:firstLine="630"/>
      </w:pPr>
      <w:r>
        <w:rPr>
          <w:rFonts w:hint="eastAsia" w:ascii="仿宋_GB2312" w:hAnsi="仿宋_GB2312" w:eastAsia="仿宋_GB2312" w:cs="仿宋_GB2312"/>
          <w:sz w:val="31"/>
          <w:szCs w:val="31"/>
        </w:rPr>
        <w:t>严格按照市政府要求，在商务局政府门户网站上公布监督方式，主动接受群众监督评议。全年无信息公开方面投诉处理事件。</w:t>
      </w:r>
    </w:p>
    <w:p>
      <w:pPr>
        <w:pStyle w:val="2"/>
        <w:keepNext w:val="0"/>
        <w:keepLines w:val="0"/>
        <w:widowControl/>
        <w:suppressLineNumbers w:val="0"/>
        <w:autoSpaceDE w:val="0"/>
        <w:autoSpaceDN/>
        <w:spacing w:before="180" w:beforeAutospacing="0" w:after="120" w:afterAutospacing="0" w:line="555" w:lineRule="atLeast"/>
        <w:ind w:left="0" w:firstLine="630"/>
      </w:pPr>
      <w:r>
        <w:rPr>
          <w:rFonts w:hint="eastAsia" w:ascii="黑体" w:hAnsi="宋体" w:eastAsia="黑体" w:cs="黑体"/>
          <w:sz w:val="31"/>
          <w:szCs w:val="31"/>
        </w:rPr>
        <w:t>二、行政机关主动公开政府信息情况</w:t>
      </w:r>
    </w:p>
    <w:tbl>
      <w:tblPr>
        <w:tblStyle w:val="3"/>
        <w:tblW w:w="904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740"/>
        <w:gridCol w:w="2430"/>
        <w:gridCol w:w="2430"/>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9045" w:type="dxa"/>
            <w:gridSpan w:val="4"/>
            <w:tcBorders>
              <w:top w:val="single" w:color="000000" w:sz="6" w:space="0"/>
              <w:left w:val="single" w:color="000000" w:sz="6" w:space="0"/>
              <w:bottom w:val="single" w:color="000000" w:sz="6" w:space="0"/>
              <w:right w:val="single" w:color="000000" w:sz="6" w:space="0"/>
            </w:tcBorders>
            <w:shd w:val="clear" w:color="auto" w:fill="C6D9F1"/>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1740" w:type="dxa"/>
            <w:tcBorders>
              <w:top w:val="nil"/>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信息内容</w:t>
            </w:r>
          </w:p>
        </w:tc>
        <w:tc>
          <w:tcPr>
            <w:tcW w:w="2430" w:type="dxa"/>
            <w:tcBorders>
              <w:top w:val="single" w:color="000000" w:sz="6" w:space="0"/>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本年制发件数</w:t>
            </w:r>
          </w:p>
        </w:tc>
        <w:tc>
          <w:tcPr>
            <w:tcW w:w="2430" w:type="dxa"/>
            <w:tcBorders>
              <w:top w:val="single" w:color="000000" w:sz="6" w:space="0"/>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本年废止件数</w:t>
            </w:r>
          </w:p>
        </w:tc>
        <w:tc>
          <w:tcPr>
            <w:tcW w:w="2430" w:type="dxa"/>
            <w:tcBorders>
              <w:top w:val="single" w:color="000000" w:sz="6" w:space="0"/>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1740" w:type="dxa"/>
            <w:tcBorders>
              <w:top w:val="nil"/>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规章</w:t>
            </w:r>
          </w:p>
        </w:tc>
        <w:tc>
          <w:tcPr>
            <w:tcW w:w="243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4"/>
                <w:szCs w:val="24"/>
              </w:rPr>
              <w:t>0</w:t>
            </w:r>
          </w:p>
        </w:tc>
        <w:tc>
          <w:tcPr>
            <w:tcW w:w="243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4"/>
                <w:szCs w:val="24"/>
              </w:rPr>
              <w:t>0</w:t>
            </w:r>
          </w:p>
        </w:tc>
        <w:tc>
          <w:tcPr>
            <w:tcW w:w="243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1740" w:type="dxa"/>
            <w:tcBorders>
              <w:top w:val="nil"/>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行政规范性文件</w:t>
            </w:r>
          </w:p>
        </w:tc>
        <w:tc>
          <w:tcPr>
            <w:tcW w:w="243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4"/>
                <w:szCs w:val="24"/>
              </w:rPr>
              <w:t>0</w:t>
            </w:r>
          </w:p>
        </w:tc>
        <w:tc>
          <w:tcPr>
            <w:tcW w:w="243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4"/>
                <w:szCs w:val="24"/>
              </w:rPr>
              <w:t>0</w:t>
            </w:r>
          </w:p>
        </w:tc>
        <w:tc>
          <w:tcPr>
            <w:tcW w:w="243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9045" w:type="dxa"/>
            <w:gridSpan w:val="4"/>
            <w:tcBorders>
              <w:top w:val="nil"/>
              <w:left w:val="single" w:color="000000" w:sz="6" w:space="0"/>
              <w:bottom w:val="single" w:color="000000" w:sz="6" w:space="0"/>
              <w:right w:val="single" w:color="000000" w:sz="6" w:space="0"/>
            </w:tcBorders>
            <w:shd w:val="clear" w:color="auto" w:fill="C6D9F1"/>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1740" w:type="dxa"/>
            <w:tcBorders>
              <w:top w:val="nil"/>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信息内容</w:t>
            </w:r>
          </w:p>
        </w:tc>
        <w:tc>
          <w:tcPr>
            <w:tcW w:w="7305" w:type="dxa"/>
            <w:gridSpan w:val="3"/>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1740" w:type="dxa"/>
            <w:tcBorders>
              <w:top w:val="nil"/>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行政许可</w:t>
            </w:r>
          </w:p>
        </w:tc>
        <w:tc>
          <w:tcPr>
            <w:tcW w:w="7305" w:type="dxa"/>
            <w:gridSpan w:val="3"/>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9045" w:type="dxa"/>
            <w:gridSpan w:val="4"/>
            <w:tcBorders>
              <w:top w:val="nil"/>
              <w:left w:val="single" w:color="000000" w:sz="6" w:space="0"/>
              <w:bottom w:val="single" w:color="000000" w:sz="6" w:space="0"/>
              <w:right w:val="single" w:color="000000" w:sz="6" w:space="0"/>
            </w:tcBorders>
            <w:shd w:val="clear" w:color="auto" w:fill="C6D9F1"/>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blCellSpacing w:w="0" w:type="dxa"/>
        </w:trPr>
        <w:tc>
          <w:tcPr>
            <w:tcW w:w="1740" w:type="dxa"/>
            <w:tcBorders>
              <w:top w:val="nil"/>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firstLine="0"/>
              <w:jc w:val="center"/>
            </w:pPr>
            <w:r>
              <w:rPr>
                <w:rFonts w:hint="eastAsia" w:ascii="宋体" w:hAnsi="宋体" w:eastAsia="宋体" w:cs="宋体"/>
                <w:sz w:val="19"/>
                <w:szCs w:val="19"/>
              </w:rPr>
              <w:t>信息内容</w:t>
            </w:r>
          </w:p>
        </w:tc>
        <w:tc>
          <w:tcPr>
            <w:tcW w:w="7305" w:type="dxa"/>
            <w:gridSpan w:val="3"/>
            <w:tcBorders>
              <w:top w:val="single" w:color="000000" w:sz="6" w:space="0"/>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firstLine="0"/>
              <w:jc w:val="center"/>
            </w:pPr>
            <w:r>
              <w:rPr>
                <w:rFonts w:hint="eastAsia" w:ascii="宋体" w:hAnsi="宋体" w:eastAsia="宋体" w:cs="宋体"/>
                <w:sz w:val="19"/>
                <w:szCs w:val="19"/>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1740" w:type="dxa"/>
            <w:tcBorders>
              <w:top w:val="nil"/>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行政处罚</w:t>
            </w:r>
          </w:p>
        </w:tc>
        <w:tc>
          <w:tcPr>
            <w:tcW w:w="7305" w:type="dxa"/>
            <w:gridSpan w:val="3"/>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blCellSpacing w:w="0" w:type="dxa"/>
        </w:trPr>
        <w:tc>
          <w:tcPr>
            <w:tcW w:w="1740" w:type="dxa"/>
            <w:tcBorders>
              <w:top w:val="nil"/>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行政强制</w:t>
            </w:r>
          </w:p>
        </w:tc>
        <w:tc>
          <w:tcPr>
            <w:tcW w:w="7305" w:type="dxa"/>
            <w:gridSpan w:val="3"/>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blCellSpacing w:w="0" w:type="dxa"/>
        </w:trPr>
        <w:tc>
          <w:tcPr>
            <w:tcW w:w="9045" w:type="dxa"/>
            <w:gridSpan w:val="4"/>
            <w:tcBorders>
              <w:top w:val="nil"/>
              <w:left w:val="single" w:color="000000" w:sz="6" w:space="0"/>
              <w:bottom w:val="single" w:color="000000" w:sz="6" w:space="0"/>
              <w:right w:val="single" w:color="000000" w:sz="6" w:space="0"/>
            </w:tcBorders>
            <w:shd w:val="clear" w:color="auto" w:fill="C6D9F1"/>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1740" w:type="dxa"/>
            <w:tcBorders>
              <w:top w:val="nil"/>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信息内容</w:t>
            </w:r>
          </w:p>
        </w:tc>
        <w:tc>
          <w:tcPr>
            <w:tcW w:w="7305" w:type="dxa"/>
            <w:gridSpan w:val="3"/>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1740" w:type="dxa"/>
            <w:tcBorders>
              <w:top w:val="nil"/>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行政事业性收费</w:t>
            </w:r>
          </w:p>
        </w:tc>
        <w:tc>
          <w:tcPr>
            <w:tcW w:w="7305" w:type="dxa"/>
            <w:gridSpan w:val="3"/>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24"/>
                <w:szCs w:val="24"/>
              </w:rPr>
              <w:t>0</w:t>
            </w:r>
          </w:p>
        </w:tc>
      </w:tr>
    </w:tbl>
    <w:p>
      <w:pPr>
        <w:pStyle w:val="2"/>
        <w:keepNext w:val="0"/>
        <w:keepLines w:val="0"/>
        <w:widowControl/>
        <w:suppressLineNumbers w:val="0"/>
        <w:autoSpaceDE w:val="0"/>
        <w:autoSpaceDN/>
        <w:spacing w:before="180" w:beforeAutospacing="0" w:after="120" w:afterAutospacing="0" w:line="555" w:lineRule="atLeast"/>
        <w:ind w:left="0" w:firstLine="630"/>
      </w:pPr>
      <w:r>
        <w:rPr>
          <w:rFonts w:hint="eastAsia" w:ascii="黑体" w:hAnsi="宋体" w:eastAsia="黑体" w:cs="黑体"/>
          <w:sz w:val="31"/>
          <w:szCs w:val="31"/>
        </w:rPr>
        <w:t>三、行政机关收到和处理政府信息公开申请情况</w:t>
      </w:r>
    </w:p>
    <w:tbl>
      <w:tblPr>
        <w:tblStyle w:val="3"/>
        <w:tblW w:w="9045"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22"/>
        <w:gridCol w:w="839"/>
        <w:gridCol w:w="2568"/>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4230" w:type="dxa"/>
            <w:gridSpan w:val="3"/>
            <w:vMerge w:val="restart"/>
            <w:tcBorders>
              <w:top w:val="single" w:color="000000" w:sz="6" w:space="0"/>
              <w:left w:val="single" w:color="000000" w:sz="6" w:space="0"/>
              <w:bottom w:val="outset"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55" w:lineRule="atLeast"/>
            </w:pPr>
            <w:r>
              <w:rPr>
                <w:rFonts w:hint="eastAsia" w:ascii="楷体" w:hAnsi="楷体" w:eastAsia="楷体" w:cs="楷体"/>
                <w:sz w:val="19"/>
                <w:szCs w:val="19"/>
              </w:rPr>
              <w:t>（本列数据的勾稽关系为：第一项加第二项之和，等于第三项加第四项之和）</w:t>
            </w:r>
          </w:p>
        </w:tc>
        <w:tc>
          <w:tcPr>
            <w:tcW w:w="4815" w:type="dxa"/>
            <w:gridSpan w:val="7"/>
            <w:tcBorders>
              <w:top w:val="single" w:color="000000" w:sz="6" w:space="0"/>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4230" w:type="dxa"/>
            <w:gridSpan w:val="3"/>
            <w:vMerge w:val="continue"/>
            <w:tcBorders>
              <w:top w:val="single" w:color="000000" w:sz="6" w:space="0"/>
              <w:left w:val="single" w:color="000000" w:sz="6" w:space="0"/>
              <w:bottom w:val="outset"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90" w:type="dxa"/>
            <w:vMerge w:val="restart"/>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自然人</w:t>
            </w:r>
          </w:p>
        </w:tc>
        <w:tc>
          <w:tcPr>
            <w:tcW w:w="3435" w:type="dxa"/>
            <w:gridSpan w:val="5"/>
            <w:tcBorders>
              <w:top w:val="single" w:color="000000" w:sz="6" w:space="0"/>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法人或其他组织</w:t>
            </w:r>
          </w:p>
        </w:tc>
        <w:tc>
          <w:tcPr>
            <w:tcW w:w="690" w:type="dxa"/>
            <w:vMerge w:val="restart"/>
            <w:tcBorders>
              <w:top w:val="single" w:color="000000" w:sz="6" w:space="0"/>
              <w:left w:val="nil"/>
              <w:bottom w:val="outset"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4230" w:type="dxa"/>
            <w:gridSpan w:val="3"/>
            <w:vMerge w:val="continue"/>
            <w:tcBorders>
              <w:top w:val="single" w:color="000000" w:sz="6" w:space="0"/>
              <w:left w:val="single" w:color="000000" w:sz="6" w:space="0"/>
              <w:bottom w:val="outset"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90" w:type="dxa"/>
            <w:vMerge w:val="continue"/>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商业</w:t>
            </w:r>
          </w:p>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企业</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科研</w:t>
            </w:r>
          </w:p>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机构</w:t>
            </w:r>
          </w:p>
        </w:tc>
        <w:tc>
          <w:tcPr>
            <w:tcW w:w="690" w:type="dxa"/>
            <w:tcBorders>
              <w:top w:val="single" w:color="000000" w:sz="6" w:space="0"/>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社会公益组织</w:t>
            </w:r>
          </w:p>
        </w:tc>
        <w:tc>
          <w:tcPr>
            <w:tcW w:w="690" w:type="dxa"/>
            <w:tcBorders>
              <w:top w:val="single" w:color="000000" w:sz="6" w:space="0"/>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法律服务机构</w:t>
            </w:r>
          </w:p>
        </w:tc>
        <w:tc>
          <w:tcPr>
            <w:tcW w:w="690" w:type="dxa"/>
            <w:tcBorders>
              <w:top w:val="single" w:color="000000" w:sz="6" w:space="0"/>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19"/>
                <w:szCs w:val="19"/>
              </w:rPr>
              <w:t>其他</w:t>
            </w:r>
          </w:p>
        </w:tc>
        <w:tc>
          <w:tcPr>
            <w:tcW w:w="690" w:type="dxa"/>
            <w:vMerge w:val="continue"/>
            <w:tcBorders>
              <w:top w:val="single" w:color="000000" w:sz="6" w:space="0"/>
              <w:left w:val="nil"/>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4230" w:type="dxa"/>
            <w:gridSpan w:val="3"/>
            <w:tcBorders>
              <w:top w:val="nil"/>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一、本年新收政府信息公开申请数量</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4230" w:type="dxa"/>
            <w:gridSpan w:val="3"/>
            <w:tcBorders>
              <w:top w:val="nil"/>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二、上年结转政府信息公开申请数量</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825" w:type="dxa"/>
            <w:vMerge w:val="restart"/>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三、本年度办理结果</w:t>
            </w:r>
          </w:p>
        </w:tc>
        <w:tc>
          <w:tcPr>
            <w:tcW w:w="3420"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（一）予以公开</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single" w:color="000000" w:sz="6" w:space="0"/>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3420"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（二）部分公开</w:t>
            </w:r>
            <w:r>
              <w:rPr>
                <w:rFonts w:hint="eastAsia" w:ascii="楷体" w:hAnsi="楷体" w:eastAsia="楷体" w:cs="楷体"/>
                <w:sz w:val="19"/>
                <w:szCs w:val="19"/>
              </w:rPr>
              <w:t>（区分处理的，只计这一情形，不计其他情形）</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restart"/>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（三）不予公开</w:t>
            </w: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1.属于国家秘密</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single" w:color="000000" w:sz="6" w:space="0"/>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continue"/>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2.其他法律行政法规禁止公开</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continue"/>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3.危及“三安全一稳定”</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continue"/>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4.保护第三方合法权益</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continue"/>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5.属于三类内部事务信息</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continue"/>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6.属于四类过程性信息</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continue"/>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7.属于行政执法案卷</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continue"/>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8.属于行政查询事项</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restart"/>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（四）无法提供</w:t>
            </w: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1.本机关不掌握相关政府信息</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continue"/>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2.没有现成信息需要另行制作</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continue"/>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3.补正后申请内容仍不明确</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restart"/>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（五）不予处理</w:t>
            </w: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1.信访举报投诉类申请</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continue"/>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2.重复申请</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continue"/>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3.要求提供公开出版物</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continue"/>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4.无正当理由大量反复申请</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80" w:hRule="atLeast"/>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continue"/>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80" w:type="dxa"/>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both"/>
            </w:pPr>
            <w:r>
              <w:rPr>
                <w:rFonts w:hint="eastAsia" w:ascii="宋体" w:hAnsi="宋体" w:eastAsia="宋体" w:cs="宋体"/>
                <w:sz w:val="19"/>
                <w:szCs w:val="19"/>
              </w:rPr>
              <w:t>5.要求行政机关确认或重新出具已获取信息</w:t>
            </w:r>
          </w:p>
        </w:tc>
        <w:tc>
          <w:tcPr>
            <w:tcW w:w="690" w:type="dxa"/>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restart"/>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（六）其他处理</w:t>
            </w: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both"/>
            </w:pPr>
            <w:r>
              <w:rPr>
                <w:rFonts w:hint="eastAsia" w:ascii="宋体" w:hAnsi="宋体" w:eastAsia="宋体" w:cs="宋体"/>
                <w:sz w:val="19"/>
                <w:szCs w:val="19"/>
              </w:rPr>
              <w:t>1.申请人无正当理由逾期不补正、行政机关不再处理其政府信息公开申请</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continue"/>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both"/>
            </w:pPr>
            <w:r>
              <w:rPr>
                <w:rFonts w:hint="eastAsia" w:ascii="宋体" w:hAnsi="宋体" w:eastAsia="宋体" w:cs="宋体"/>
                <w:sz w:val="19"/>
                <w:szCs w:val="19"/>
              </w:rPr>
              <w:t>2.申请人逾期未按收费通知要求缴纳费用、行政机关不再处理其政府信息公开申请</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840" w:type="dxa"/>
            <w:vMerge w:val="continue"/>
            <w:tcBorders>
              <w:top w:val="nil"/>
              <w:left w:val="nil"/>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8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3.其他</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825" w:type="dxa"/>
            <w:vMerge w:val="continue"/>
            <w:tcBorders>
              <w:top w:val="nil"/>
              <w:left w:val="single" w:color="000000" w:sz="6" w:space="0"/>
              <w:bottom w:val="outset" w:color="000000" w:sz="6" w:space="0"/>
              <w:right w:val="single" w:color="000000"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3420" w:type="dxa"/>
            <w:gridSpan w:val="2"/>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（七）总计</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4230" w:type="dxa"/>
            <w:gridSpan w:val="3"/>
            <w:tcBorders>
              <w:top w:val="nil"/>
              <w:left w:val="single" w:color="000000" w:sz="6" w:space="0"/>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spacing w:line="555" w:lineRule="atLeast"/>
            </w:pPr>
            <w:r>
              <w:rPr>
                <w:rFonts w:hint="eastAsia" w:ascii="宋体" w:hAnsi="宋体" w:eastAsia="宋体" w:cs="宋体"/>
                <w:sz w:val="19"/>
                <w:szCs w:val="19"/>
              </w:rPr>
              <w:t>四、结转下年度继续办理</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c>
          <w:tcPr>
            <w:tcW w:w="690" w:type="dxa"/>
            <w:tcBorders>
              <w:top w:val="nil"/>
              <w:left w:val="nil"/>
              <w:bottom w:val="single" w:color="000000" w:sz="6" w:space="0"/>
              <w:right w:val="single" w:color="000000" w:sz="6" w:space="0"/>
            </w:tcBorders>
            <w:shd w:val="clear" w:color="auto" w:fill="auto"/>
            <w:tcMar>
              <w:top w:w="0" w:type="dxa"/>
              <w:left w:w="60" w:type="dxa"/>
              <w:bottom w:w="0" w:type="dxa"/>
              <w:right w:w="6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jc w:val="center"/>
            </w:pPr>
            <w:r>
              <w:rPr>
                <w:rFonts w:hint="eastAsia" w:ascii="宋体" w:hAnsi="宋体" w:eastAsia="宋体" w:cs="宋体"/>
                <w:sz w:val="22"/>
                <w:szCs w:val="22"/>
              </w:rPr>
              <w:t>0</w:t>
            </w:r>
          </w:p>
        </w:tc>
      </w:tr>
    </w:tbl>
    <w:p>
      <w:pPr>
        <w:pStyle w:val="2"/>
        <w:keepNext w:val="0"/>
        <w:keepLines w:val="0"/>
        <w:widowControl/>
        <w:suppressLineNumbers w:val="0"/>
        <w:autoSpaceDE w:val="0"/>
        <w:autoSpaceDN/>
        <w:spacing w:line="555" w:lineRule="atLeast"/>
      </w:pPr>
      <w:r>
        <w:rPr>
          <w:rFonts w:hint="eastAsia" w:ascii="黑体" w:hAnsi="宋体" w:eastAsia="黑体" w:cs="黑体"/>
          <w:sz w:val="31"/>
          <w:szCs w:val="31"/>
        </w:rPr>
        <w:t>四、因政府信息公开工作被申请行政复议、提起行政诉讼情况</w:t>
      </w:r>
    </w:p>
    <w:tbl>
      <w:tblPr>
        <w:tblStyle w:val="3"/>
        <w:tblW w:w="9285"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5"/>
        <w:gridCol w:w="615"/>
        <w:gridCol w:w="615"/>
        <w:gridCol w:w="615"/>
        <w:gridCol w:w="630"/>
        <w:gridCol w:w="615"/>
        <w:gridCol w:w="615"/>
        <w:gridCol w:w="615"/>
        <w:gridCol w:w="615"/>
        <w:gridCol w:w="630"/>
        <w:gridCol w:w="615"/>
        <w:gridCol w:w="615"/>
        <w:gridCol w:w="615"/>
        <w:gridCol w:w="615"/>
        <w:gridCol w:w="6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309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行政复议</w:t>
            </w:r>
          </w:p>
        </w:tc>
        <w:tc>
          <w:tcPr>
            <w:tcW w:w="6195" w:type="dxa"/>
            <w:gridSpan w:val="10"/>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15" w:type="dxa"/>
            <w:vMerge w:val="restart"/>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firstLine="0"/>
              <w:jc w:val="center"/>
            </w:pPr>
            <w:r>
              <w:rPr>
                <w:rFonts w:hint="eastAsia" w:ascii="宋体" w:hAnsi="宋体" w:eastAsia="宋体" w:cs="宋体"/>
                <w:sz w:val="19"/>
                <w:szCs w:val="19"/>
              </w:rPr>
              <w:t>结果维持</w:t>
            </w:r>
          </w:p>
        </w:tc>
        <w:tc>
          <w:tcPr>
            <w:tcW w:w="615" w:type="dxa"/>
            <w:vMerge w:val="restart"/>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firstLine="0"/>
              <w:jc w:val="center"/>
            </w:pPr>
            <w:r>
              <w:rPr>
                <w:rFonts w:hint="eastAsia" w:ascii="宋体" w:hAnsi="宋体" w:eastAsia="宋体" w:cs="宋体"/>
                <w:sz w:val="19"/>
                <w:szCs w:val="19"/>
              </w:rPr>
              <w:t>结果</w:t>
            </w:r>
            <w:r>
              <w:rPr>
                <w:rFonts w:hint="eastAsia" w:ascii="宋体" w:hAnsi="宋体" w:eastAsia="宋体" w:cs="宋体"/>
                <w:sz w:val="19"/>
                <w:szCs w:val="19"/>
              </w:rPr>
              <w:br w:type="textWrapping"/>
            </w:r>
            <w:r>
              <w:rPr>
                <w:rFonts w:hint="eastAsia" w:ascii="宋体" w:hAnsi="宋体" w:eastAsia="宋体" w:cs="宋体"/>
                <w:sz w:val="19"/>
                <w:szCs w:val="19"/>
              </w:rPr>
              <w:t>纠正</w:t>
            </w:r>
          </w:p>
        </w:tc>
        <w:tc>
          <w:tcPr>
            <w:tcW w:w="61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firstLine="0"/>
              <w:jc w:val="center"/>
            </w:pPr>
            <w:r>
              <w:rPr>
                <w:rFonts w:hint="eastAsia" w:ascii="宋体" w:hAnsi="宋体" w:eastAsia="宋体" w:cs="宋体"/>
                <w:sz w:val="19"/>
                <w:szCs w:val="19"/>
              </w:rPr>
              <w:t>其他</w:t>
            </w:r>
            <w:r>
              <w:rPr>
                <w:rFonts w:hint="eastAsia" w:ascii="宋体" w:hAnsi="宋体" w:eastAsia="宋体" w:cs="宋体"/>
                <w:sz w:val="19"/>
                <w:szCs w:val="19"/>
              </w:rPr>
              <w:br w:type="textWrapping"/>
            </w:r>
            <w:r>
              <w:rPr>
                <w:rFonts w:hint="eastAsia" w:ascii="宋体" w:hAnsi="宋体" w:eastAsia="宋体" w:cs="宋体"/>
                <w:sz w:val="19"/>
                <w:szCs w:val="19"/>
              </w:rPr>
              <w:t>结果</w:t>
            </w:r>
          </w:p>
        </w:tc>
        <w:tc>
          <w:tcPr>
            <w:tcW w:w="61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firstLine="0"/>
              <w:jc w:val="center"/>
            </w:pPr>
            <w:r>
              <w:rPr>
                <w:rFonts w:hint="eastAsia" w:ascii="宋体" w:hAnsi="宋体" w:eastAsia="宋体" w:cs="宋体"/>
                <w:sz w:val="19"/>
                <w:szCs w:val="19"/>
              </w:rPr>
              <w:t>尚未</w:t>
            </w:r>
            <w:r>
              <w:rPr>
                <w:rFonts w:hint="eastAsia" w:ascii="宋体" w:hAnsi="宋体" w:eastAsia="宋体" w:cs="宋体"/>
                <w:sz w:val="19"/>
                <w:szCs w:val="19"/>
              </w:rPr>
              <w:br w:type="textWrapping"/>
            </w:r>
            <w:r>
              <w:rPr>
                <w:rFonts w:hint="eastAsia" w:ascii="宋体" w:hAnsi="宋体" w:eastAsia="宋体" w:cs="宋体"/>
                <w:sz w:val="19"/>
                <w:szCs w:val="19"/>
              </w:rPr>
              <w:t>审结</w:t>
            </w:r>
          </w:p>
        </w:tc>
        <w:tc>
          <w:tcPr>
            <w:tcW w:w="61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firstLine="0"/>
              <w:jc w:val="center"/>
            </w:pPr>
            <w:r>
              <w:rPr>
                <w:rFonts w:hint="eastAsia" w:ascii="宋体" w:hAnsi="宋体" w:eastAsia="宋体" w:cs="宋体"/>
                <w:sz w:val="19"/>
                <w:szCs w:val="19"/>
              </w:rPr>
              <w:t>总计</w:t>
            </w:r>
          </w:p>
        </w:tc>
        <w:tc>
          <w:tcPr>
            <w:tcW w:w="309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未经复议直接起诉</w:t>
            </w:r>
          </w:p>
        </w:tc>
        <w:tc>
          <w:tcPr>
            <w:tcW w:w="310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rPr>
                <w:rFonts w:hint="eastAsia" w:ascii="宋体"/>
                <w:sz w:val="24"/>
                <w:szCs w:val="24"/>
              </w:rPr>
            </w:pPr>
          </w:p>
        </w:tc>
        <w:tc>
          <w:tcPr>
            <w:tcW w:w="615" w:type="dxa"/>
            <w:vMerge w:val="continue"/>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rPr>
                <w:rFonts w:hint="eastAsia" w:ascii="宋体"/>
                <w:sz w:val="24"/>
                <w:szCs w:val="24"/>
              </w:rPr>
            </w:pPr>
          </w:p>
        </w:tc>
        <w:tc>
          <w:tcPr>
            <w:tcW w:w="61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rPr>
                <w:rFonts w:hint="eastAsia" w:ascii="宋体"/>
                <w:sz w:val="24"/>
                <w:szCs w:val="24"/>
              </w:rPr>
            </w:pPr>
          </w:p>
        </w:tc>
        <w:tc>
          <w:tcPr>
            <w:tcW w:w="61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rPr>
                <w:rFonts w:hint="eastAsia" w:ascii="宋体"/>
                <w:sz w:val="24"/>
                <w:szCs w:val="24"/>
              </w:rPr>
            </w:pPr>
          </w:p>
        </w:tc>
        <w:tc>
          <w:tcPr>
            <w:tcW w:w="61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rPr>
                <w:rFonts w:hint="eastAsia" w:ascii="宋体"/>
                <w:sz w:val="24"/>
                <w:szCs w:val="24"/>
              </w:rPr>
            </w:pPr>
          </w:p>
        </w:tc>
        <w:tc>
          <w:tcPr>
            <w:tcW w:w="615" w:type="dxa"/>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firstLine="0"/>
              <w:jc w:val="center"/>
            </w:pPr>
            <w:r>
              <w:rPr>
                <w:rFonts w:hint="eastAsia" w:ascii="宋体" w:hAnsi="宋体" w:eastAsia="宋体" w:cs="宋体"/>
                <w:sz w:val="19"/>
                <w:szCs w:val="19"/>
              </w:rPr>
              <w:t>结果</w:t>
            </w:r>
            <w:r>
              <w:rPr>
                <w:rFonts w:hint="eastAsia" w:ascii="宋体" w:hAnsi="宋体" w:eastAsia="宋体" w:cs="宋体"/>
                <w:sz w:val="19"/>
                <w:szCs w:val="19"/>
              </w:rPr>
              <w:br w:type="textWrapping"/>
            </w:r>
            <w:r>
              <w:rPr>
                <w:rFonts w:hint="eastAsia" w:ascii="宋体" w:hAnsi="宋体" w:eastAsia="宋体" w:cs="宋体"/>
                <w:sz w:val="19"/>
                <w:szCs w:val="19"/>
              </w:rPr>
              <w:t>维持</w:t>
            </w:r>
          </w:p>
        </w:tc>
        <w:tc>
          <w:tcPr>
            <w:tcW w:w="615" w:type="dxa"/>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firstLine="0"/>
              <w:jc w:val="center"/>
            </w:pPr>
            <w:r>
              <w:rPr>
                <w:rFonts w:hint="eastAsia" w:ascii="宋体" w:hAnsi="宋体" w:eastAsia="宋体" w:cs="宋体"/>
                <w:sz w:val="19"/>
                <w:szCs w:val="19"/>
              </w:rPr>
              <w:t>结果</w:t>
            </w:r>
            <w:r>
              <w:rPr>
                <w:rFonts w:hint="eastAsia" w:ascii="宋体" w:hAnsi="宋体" w:eastAsia="宋体" w:cs="宋体"/>
                <w:sz w:val="19"/>
                <w:szCs w:val="19"/>
              </w:rPr>
              <w:br w:type="textWrapping"/>
            </w:r>
            <w:r>
              <w:rPr>
                <w:rFonts w:hint="eastAsia" w:ascii="宋体" w:hAnsi="宋体" w:eastAsia="宋体" w:cs="宋体"/>
                <w:sz w:val="19"/>
                <w:szCs w:val="19"/>
              </w:rPr>
              <w:t>纠正</w:t>
            </w:r>
          </w:p>
        </w:tc>
        <w:tc>
          <w:tcPr>
            <w:tcW w:w="615" w:type="dxa"/>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firstLine="0"/>
              <w:jc w:val="center"/>
            </w:pPr>
            <w:r>
              <w:rPr>
                <w:rFonts w:hint="eastAsia" w:ascii="宋体" w:hAnsi="宋体" w:eastAsia="宋体" w:cs="宋体"/>
                <w:sz w:val="19"/>
                <w:szCs w:val="19"/>
              </w:rPr>
              <w:t>其他</w:t>
            </w:r>
            <w:r>
              <w:rPr>
                <w:rFonts w:hint="eastAsia" w:ascii="宋体" w:hAnsi="宋体" w:eastAsia="宋体" w:cs="宋体"/>
                <w:sz w:val="19"/>
                <w:szCs w:val="19"/>
              </w:rPr>
              <w:br w:type="textWrapping"/>
            </w:r>
            <w:r>
              <w:rPr>
                <w:rFonts w:hint="eastAsia" w:ascii="宋体" w:hAnsi="宋体" w:eastAsia="宋体" w:cs="宋体"/>
                <w:sz w:val="19"/>
                <w:szCs w:val="19"/>
              </w:rPr>
              <w:t>结果</w:t>
            </w:r>
          </w:p>
        </w:tc>
        <w:tc>
          <w:tcPr>
            <w:tcW w:w="615" w:type="dxa"/>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firstLine="0"/>
              <w:jc w:val="center"/>
            </w:pPr>
            <w:r>
              <w:rPr>
                <w:rFonts w:hint="eastAsia" w:ascii="宋体" w:hAnsi="宋体" w:eastAsia="宋体" w:cs="宋体"/>
                <w:sz w:val="19"/>
                <w:szCs w:val="19"/>
              </w:rPr>
              <w:t>尚未</w:t>
            </w:r>
            <w:r>
              <w:rPr>
                <w:rFonts w:hint="eastAsia" w:ascii="宋体" w:hAnsi="宋体" w:eastAsia="宋体" w:cs="宋体"/>
                <w:sz w:val="19"/>
                <w:szCs w:val="19"/>
              </w:rPr>
              <w:br w:type="textWrapping"/>
            </w:r>
            <w:r>
              <w:rPr>
                <w:rFonts w:hint="eastAsia" w:ascii="宋体" w:hAnsi="宋体" w:eastAsia="宋体" w:cs="宋体"/>
                <w:sz w:val="19"/>
                <w:szCs w:val="19"/>
              </w:rPr>
              <w:t>审结</w:t>
            </w:r>
          </w:p>
        </w:tc>
        <w:tc>
          <w:tcPr>
            <w:tcW w:w="615" w:type="dxa"/>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firstLine="0"/>
              <w:jc w:val="center"/>
            </w:pPr>
            <w:r>
              <w:rPr>
                <w:rFonts w:hint="eastAsia" w:ascii="宋体" w:hAnsi="宋体" w:eastAsia="宋体" w:cs="宋体"/>
                <w:sz w:val="19"/>
                <w:szCs w:val="19"/>
              </w:rPr>
              <w:t>总计</w:t>
            </w:r>
          </w:p>
        </w:tc>
        <w:tc>
          <w:tcPr>
            <w:tcW w:w="615" w:type="dxa"/>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firstLine="0"/>
              <w:jc w:val="center"/>
            </w:pPr>
            <w:r>
              <w:rPr>
                <w:rFonts w:hint="eastAsia" w:ascii="宋体" w:hAnsi="宋体" w:eastAsia="宋体" w:cs="宋体"/>
                <w:sz w:val="19"/>
                <w:szCs w:val="19"/>
              </w:rPr>
              <w:t>结果</w:t>
            </w:r>
            <w:r>
              <w:rPr>
                <w:rFonts w:hint="eastAsia" w:ascii="宋体" w:hAnsi="宋体" w:eastAsia="宋体" w:cs="宋体"/>
                <w:sz w:val="19"/>
                <w:szCs w:val="19"/>
              </w:rPr>
              <w:br w:type="textWrapping"/>
            </w:r>
            <w:r>
              <w:rPr>
                <w:rFonts w:hint="eastAsia" w:ascii="宋体" w:hAnsi="宋体" w:eastAsia="宋体" w:cs="宋体"/>
                <w:sz w:val="19"/>
                <w:szCs w:val="19"/>
              </w:rPr>
              <w:t>维持</w:t>
            </w:r>
          </w:p>
        </w:tc>
        <w:tc>
          <w:tcPr>
            <w:tcW w:w="615" w:type="dxa"/>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firstLine="0"/>
              <w:jc w:val="center"/>
            </w:pPr>
            <w:r>
              <w:rPr>
                <w:rFonts w:hint="eastAsia" w:ascii="宋体" w:hAnsi="宋体" w:eastAsia="宋体" w:cs="宋体"/>
                <w:sz w:val="19"/>
                <w:szCs w:val="19"/>
              </w:rPr>
              <w:t>结果</w:t>
            </w:r>
            <w:r>
              <w:rPr>
                <w:rFonts w:hint="eastAsia" w:ascii="宋体" w:hAnsi="宋体" w:eastAsia="宋体" w:cs="宋体"/>
                <w:sz w:val="19"/>
                <w:szCs w:val="19"/>
              </w:rPr>
              <w:br w:type="textWrapping"/>
            </w:r>
            <w:r>
              <w:rPr>
                <w:rFonts w:hint="eastAsia" w:ascii="宋体" w:hAnsi="宋体" w:eastAsia="宋体" w:cs="宋体"/>
                <w:sz w:val="19"/>
                <w:szCs w:val="19"/>
              </w:rPr>
              <w:t>纠正</w:t>
            </w:r>
          </w:p>
        </w:tc>
        <w:tc>
          <w:tcPr>
            <w:tcW w:w="615" w:type="dxa"/>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firstLine="0"/>
              <w:jc w:val="center"/>
            </w:pPr>
            <w:r>
              <w:rPr>
                <w:rFonts w:hint="eastAsia" w:ascii="宋体" w:hAnsi="宋体" w:eastAsia="宋体" w:cs="宋体"/>
                <w:sz w:val="19"/>
                <w:szCs w:val="19"/>
              </w:rPr>
              <w:t>其他</w:t>
            </w:r>
            <w:r>
              <w:rPr>
                <w:rFonts w:hint="eastAsia" w:ascii="宋体" w:hAnsi="宋体" w:eastAsia="宋体" w:cs="宋体"/>
                <w:sz w:val="19"/>
                <w:szCs w:val="19"/>
              </w:rPr>
              <w:br w:type="textWrapping"/>
            </w:r>
            <w:r>
              <w:rPr>
                <w:rFonts w:hint="eastAsia" w:ascii="宋体" w:hAnsi="宋体" w:eastAsia="宋体" w:cs="宋体"/>
                <w:sz w:val="19"/>
                <w:szCs w:val="19"/>
              </w:rPr>
              <w:t>结果</w:t>
            </w:r>
          </w:p>
        </w:tc>
        <w:tc>
          <w:tcPr>
            <w:tcW w:w="615" w:type="dxa"/>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firstLine="0"/>
              <w:jc w:val="center"/>
            </w:pPr>
            <w:r>
              <w:rPr>
                <w:rFonts w:hint="eastAsia" w:ascii="宋体" w:hAnsi="宋体" w:eastAsia="宋体" w:cs="宋体"/>
                <w:sz w:val="19"/>
                <w:szCs w:val="19"/>
              </w:rPr>
              <w:t>尚未</w:t>
            </w:r>
            <w:r>
              <w:rPr>
                <w:rFonts w:hint="eastAsia" w:ascii="宋体" w:hAnsi="宋体" w:eastAsia="宋体" w:cs="宋体"/>
                <w:sz w:val="19"/>
                <w:szCs w:val="19"/>
              </w:rPr>
              <w:br w:type="textWrapping"/>
            </w:r>
            <w:r>
              <w:rPr>
                <w:rFonts w:hint="eastAsia" w:ascii="宋体" w:hAnsi="宋体" w:eastAsia="宋体" w:cs="宋体"/>
                <w:sz w:val="19"/>
                <w:szCs w:val="19"/>
              </w:rPr>
              <w:t>审结</w:t>
            </w:r>
          </w:p>
        </w:tc>
        <w:tc>
          <w:tcPr>
            <w:tcW w:w="615" w:type="dxa"/>
            <w:tcBorders>
              <w:top w:val="single" w:color="000000" w:sz="6" w:space="0"/>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before="0" w:beforeAutospacing="0" w:after="0" w:afterAutospacing="0" w:line="555" w:lineRule="atLeast"/>
              <w:ind w:left="0" w:right="0" w:firstLine="0"/>
              <w:jc w:val="center"/>
            </w:pPr>
            <w:r>
              <w:rPr>
                <w:rFonts w:hint="eastAsia" w:ascii="宋体" w:hAnsi="宋体" w:eastAsia="宋体" w:cs="宋体"/>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15" w:type="dxa"/>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0</w:t>
            </w:r>
          </w:p>
        </w:tc>
        <w:tc>
          <w:tcPr>
            <w:tcW w:w="615" w:type="dxa"/>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0</w:t>
            </w:r>
          </w:p>
        </w:tc>
        <w:tc>
          <w:tcPr>
            <w:tcW w:w="615" w:type="dxa"/>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0</w:t>
            </w:r>
          </w:p>
        </w:tc>
        <w:tc>
          <w:tcPr>
            <w:tcW w:w="615" w:type="dxa"/>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0</w:t>
            </w:r>
          </w:p>
        </w:tc>
        <w:tc>
          <w:tcPr>
            <w:tcW w:w="615" w:type="dxa"/>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0</w:t>
            </w:r>
          </w:p>
        </w:tc>
        <w:tc>
          <w:tcPr>
            <w:tcW w:w="615" w:type="dxa"/>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0</w:t>
            </w:r>
          </w:p>
        </w:tc>
        <w:tc>
          <w:tcPr>
            <w:tcW w:w="615" w:type="dxa"/>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0</w:t>
            </w:r>
          </w:p>
        </w:tc>
        <w:tc>
          <w:tcPr>
            <w:tcW w:w="615" w:type="dxa"/>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0</w:t>
            </w:r>
          </w:p>
        </w:tc>
        <w:tc>
          <w:tcPr>
            <w:tcW w:w="615" w:type="dxa"/>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0</w:t>
            </w:r>
          </w:p>
        </w:tc>
        <w:tc>
          <w:tcPr>
            <w:tcW w:w="615" w:type="dxa"/>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0</w:t>
            </w:r>
          </w:p>
        </w:tc>
        <w:tc>
          <w:tcPr>
            <w:tcW w:w="615" w:type="dxa"/>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0</w:t>
            </w:r>
          </w:p>
        </w:tc>
        <w:tc>
          <w:tcPr>
            <w:tcW w:w="615" w:type="dxa"/>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0</w:t>
            </w:r>
          </w:p>
        </w:tc>
        <w:tc>
          <w:tcPr>
            <w:tcW w:w="615" w:type="dxa"/>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0</w:t>
            </w:r>
          </w:p>
        </w:tc>
        <w:tc>
          <w:tcPr>
            <w:tcW w:w="615" w:type="dxa"/>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0</w:t>
            </w:r>
          </w:p>
        </w:tc>
        <w:tc>
          <w:tcPr>
            <w:tcW w:w="615" w:type="dxa"/>
            <w:tcBorders>
              <w:top w:val="nil"/>
              <w:left w:val="single" w:color="000000" w:sz="6" w:space="0"/>
              <w:bottom w:val="single" w:color="000000" w:sz="6" w:space="0"/>
              <w:right w:val="single" w:color="000000" w:sz="6" w:space="0"/>
            </w:tcBorders>
            <w:shd w:val="clear" w:color="auto" w:fill="auto"/>
            <w:tcMar>
              <w:top w:w="0" w:type="dxa"/>
              <w:left w:w="30" w:type="dxa"/>
              <w:bottom w:w="0" w:type="dxa"/>
              <w:right w:w="30" w:type="dxa"/>
            </w:tcMar>
            <w:vAlign w:val="center"/>
          </w:tcPr>
          <w:p>
            <w:pPr>
              <w:pStyle w:val="2"/>
              <w:keepNext w:val="0"/>
              <w:keepLines w:val="0"/>
              <w:widowControl/>
              <w:suppressLineNumbers w:val="0"/>
              <w:autoSpaceDE w:val="0"/>
              <w:autoSpaceDN/>
              <w:spacing w:line="555" w:lineRule="atLeast"/>
              <w:jc w:val="center"/>
            </w:pPr>
            <w:r>
              <w:rPr>
                <w:rFonts w:hint="eastAsia" w:ascii="宋体" w:hAnsi="宋体" w:eastAsia="宋体" w:cs="宋体"/>
                <w:sz w:val="19"/>
                <w:szCs w:val="19"/>
              </w:rPr>
              <w:t>0</w:t>
            </w:r>
          </w:p>
        </w:tc>
      </w:tr>
    </w:tbl>
    <w:p>
      <w:pPr>
        <w:pStyle w:val="2"/>
        <w:keepNext w:val="0"/>
        <w:keepLines w:val="0"/>
        <w:widowControl/>
        <w:suppressLineNumbers w:val="0"/>
        <w:autoSpaceDE w:val="0"/>
        <w:autoSpaceDN/>
        <w:spacing w:before="180" w:beforeAutospacing="0" w:after="120" w:afterAutospacing="0" w:line="555" w:lineRule="atLeast"/>
        <w:ind w:left="0" w:firstLine="630"/>
      </w:pPr>
      <w:r>
        <w:rPr>
          <w:rFonts w:hint="eastAsia" w:ascii="黑体" w:hAnsi="宋体" w:eastAsia="黑体" w:cs="黑体"/>
          <w:sz w:val="31"/>
          <w:szCs w:val="31"/>
        </w:rPr>
        <w:t>五、政府信息公开工作存在的主要问题及改进情况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55" w:lineRule="atLeast"/>
        <w:ind w:left="0" w:right="0" w:firstLine="630"/>
        <w:jc w:val="both"/>
      </w:pPr>
      <w:r>
        <w:rPr>
          <w:rFonts w:hint="eastAsia" w:ascii="仿宋" w:hAnsi="仿宋" w:eastAsia="仿宋" w:cs="仿宋"/>
          <w:sz w:val="31"/>
          <w:szCs w:val="31"/>
        </w:rPr>
        <w:t>2021</w:t>
      </w:r>
      <w:r>
        <w:rPr>
          <w:rFonts w:hint="eastAsia" w:ascii="仿宋_GB2312" w:hAnsi="仿宋_GB2312" w:eastAsia="仿宋_GB2312" w:cs="仿宋_GB2312"/>
          <w:sz w:val="31"/>
          <w:szCs w:val="31"/>
        </w:rPr>
        <w:t>年，我局在政务公开方面取得了一定的成效，但与上级要求及群众需求上仍存在差距和不足。一是政务公开意识有待提高，政务公开力度需要加大。二是政务公开内容需要充实，公开时效性有待加强。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55" w:lineRule="atLeast"/>
        <w:ind w:left="0" w:right="0" w:firstLine="630"/>
        <w:jc w:val="both"/>
      </w:pPr>
      <w:r>
        <w:rPr>
          <w:rFonts w:hint="eastAsia" w:ascii="仿宋" w:hAnsi="仿宋" w:eastAsia="仿宋" w:cs="仿宋"/>
          <w:sz w:val="31"/>
          <w:szCs w:val="31"/>
        </w:rPr>
        <w:t>2022</w:t>
      </w:r>
      <w:r>
        <w:rPr>
          <w:rFonts w:hint="eastAsia" w:ascii="仿宋_GB2312" w:hAnsi="仿宋_GB2312" w:eastAsia="仿宋_GB2312" w:cs="仿宋_GB2312"/>
          <w:sz w:val="31"/>
          <w:szCs w:val="31"/>
        </w:rPr>
        <w:t>年，我局将继续贯彻落实《中华人民共和国政府信息公开条例》，规范政务公开工作，提升政务公开质量。一是加强政务公开培训，提高政务公开意识，加大政务公开力度，提升政务公开工作水平。二是拓宽政务公开宣传渠道，积极运用新媒体平台及时发布政务信息。</w:t>
      </w:r>
    </w:p>
    <w:p>
      <w:pPr>
        <w:pStyle w:val="2"/>
        <w:keepNext w:val="0"/>
        <w:keepLines w:val="0"/>
        <w:widowControl/>
        <w:suppressLineNumbers w:val="0"/>
        <w:autoSpaceDE w:val="0"/>
        <w:autoSpaceDN/>
        <w:spacing w:before="180" w:beforeAutospacing="0" w:after="120" w:afterAutospacing="0" w:line="555" w:lineRule="atLeast"/>
        <w:ind w:left="0" w:firstLine="630"/>
      </w:pPr>
      <w:r>
        <w:rPr>
          <w:rFonts w:hint="eastAsia" w:ascii="黑体" w:hAnsi="宋体" w:eastAsia="黑体" w:cs="黑体"/>
          <w:sz w:val="31"/>
          <w:szCs w:val="31"/>
        </w:rPr>
        <w:t>六、其他需要报告的事项</w:t>
      </w:r>
    </w:p>
    <w:p>
      <w:pPr>
        <w:pStyle w:val="2"/>
        <w:keepNext w:val="0"/>
        <w:keepLines w:val="0"/>
        <w:widowControl/>
        <w:suppressLineNumbers w:val="0"/>
        <w:autoSpaceDE w:val="0"/>
        <w:autoSpaceDN/>
        <w:spacing w:line="555" w:lineRule="atLeast"/>
        <w:ind w:left="0" w:firstLine="630"/>
      </w:pPr>
      <w:r>
        <w:rPr>
          <w:rFonts w:hint="eastAsia" w:ascii="仿宋" w:hAnsi="仿宋" w:eastAsia="仿宋" w:cs="仿宋"/>
          <w:sz w:val="31"/>
          <w:szCs w:val="31"/>
        </w:rPr>
        <w:t>2021</w:t>
      </w:r>
      <w:r>
        <w:rPr>
          <w:rFonts w:hint="eastAsia" w:ascii="仿宋_GB2312" w:hAnsi="仿宋_GB2312" w:eastAsia="仿宋_GB2312" w:cs="仿宋_GB2312"/>
          <w:sz w:val="31"/>
          <w:szCs w:val="31"/>
        </w:rPr>
        <w:t>年，依据《政府信息公开信息处理费管理办法》，收取信息处理费为</w:t>
      </w:r>
      <w:r>
        <w:rPr>
          <w:rFonts w:hint="eastAsia" w:ascii="仿宋" w:hAnsi="仿宋" w:eastAsia="仿宋" w:cs="仿宋"/>
          <w:sz w:val="31"/>
          <w:szCs w:val="31"/>
        </w:rPr>
        <w:t>O</w:t>
      </w:r>
      <w:r>
        <w:rPr>
          <w:rFonts w:hint="eastAsia" w:ascii="仿宋_GB2312" w:hAnsi="仿宋_GB2312" w:eastAsia="仿宋_GB2312" w:cs="仿宋_GB2312"/>
          <w:sz w:val="31"/>
          <w:szCs w:val="31"/>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NmM2MmExYmJjMzMwNWRhOTFmZDA0OWMyMzcwMzAifQ=="/>
  </w:docVars>
  <w:rsids>
    <w:rsidRoot w:val="7ECD2601"/>
    <w:rsid w:val="373B1BBF"/>
    <w:rsid w:val="3BB9138A"/>
    <w:rsid w:val="3C8F4469"/>
    <w:rsid w:val="62831509"/>
    <w:rsid w:val="7ECD2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2023-01-12T08:05:00Z</dcterms:created>
  <dc:creator>Lenovo</dc:creator>
  <cp:lastModifiedBy>如水</cp:lastModifiedBy>
  <dcterms:modified xsi:type="dcterms:W3CDTF">2024-03-25T03:32:14Z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CE5C00683BD445BABABAB8DBC2B8AC61_13</vt:lpwstr>
  </property>
</Properties>
</file>