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樟树市鹿江街道2022年政府信息公开工作</w:t>
      </w:r>
    </w:p>
    <w:p>
      <w:pPr>
        <w:keepNext w:val="0"/>
        <w:keepLines w:val="0"/>
        <w:pageBreakBefore w:val="0"/>
        <w:widowControl w:val="0"/>
        <w:kinsoku/>
        <w:wordWrap/>
        <w:overflowPunct/>
        <w:topLinePunct w:val="0"/>
        <w:autoSpaceDE/>
        <w:autoSpaceDN/>
        <w:bidi w:val="0"/>
        <w:adjustRightInd/>
        <w:snapToGrid/>
        <w:spacing w:before="292" w:beforeLines="50"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_GB2312" w:cs="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 w:hAnsi="仿宋" w:eastAsia="仿宋_GB2312" w:cs="仿宋"/>
          <w:color w:val="000000" w:themeColor="text1"/>
          <w:sz w:val="32"/>
          <w:szCs w:val="32"/>
          <w:lang w:val="en-US" w:eastAsia="zh-CN"/>
          <w14:textFill>
            <w14:solidFill>
              <w14:schemeClr w14:val="tx1"/>
            </w14:solidFill>
          </w14:textFill>
        </w:rPr>
        <w:t>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告依据《中华人民共和国政府信息公开条例》（国务院令第711号，以下简称新《条例》）和《国务院办公厅政府信息与政务公开办公室关于政府信息公开工作年度报告有关事项的通知》（国办公开办函〔2019〕60号）要求，由鹿江街道办事处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鹿江街道办事处办公室联系（地址：樟树市鹿江街道办事处，电话：0795-7161076，邮编：331200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黑体" w:hAnsi="黑体" w:eastAsia="黑体" w:cs="黑体"/>
          <w:b/>
          <w:bCs/>
          <w:i w:val="0"/>
          <w:caps w:val="0"/>
          <w:color w:val="000000" w:themeColor="text1"/>
          <w:spacing w:val="0"/>
          <w:sz w:val="32"/>
          <w:szCs w:val="32"/>
          <w:u w:val="none"/>
          <w14:textFill>
            <w14:solidFill>
              <w14:schemeClr w14:val="tx1"/>
            </w14:solidFill>
          </w14:textFill>
        </w:rPr>
      </w:pPr>
      <w:r>
        <w:rPr>
          <w:rFonts w:hint="eastAsia" w:ascii="黑体" w:hAnsi="黑体" w:eastAsia="黑体" w:cs="黑体"/>
          <w:b/>
          <w:bCs/>
          <w:i w:val="0"/>
          <w:caps w:val="0"/>
          <w:color w:val="000000" w:themeColor="text1"/>
          <w:spacing w:val="0"/>
          <w:sz w:val="32"/>
          <w:szCs w:val="32"/>
          <w:u w:val="none"/>
          <w:shd w:val="clear" w:fill="FFFFFF"/>
          <w14:textFill>
            <w14:solidFill>
              <w14:schemeClr w14:val="tx1"/>
            </w14:solidFill>
          </w14:textFill>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年，在市委、市政府的正确领导下，我街道</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高度重视并积极推进政府信息公开工作，</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认真贯彻落实</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好</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《中华人民共和国政府信息公开条例》和中央、省、市工作部署要求</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坚持公开透明、公平公正</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的原则</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确保政府信息全面、及时、准确公开，提高工作的透明度和公信力，</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围绕中心、贴近民生、强化措施，</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为经济社会活动和人民群众生产、生活提供服务，取得了较好成效。</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一是指定专人负责政务公开资料的收集、梳理、汇总及上传；二是进一步</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加强组织领导，完善体制机制，突出重点、狠抓落实</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；三是明确职责分工，制定审查程序和责任追究办法</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；四是不断拓展信息公开范围和渠道，切实提高政府工作的透明度，保障群众的知情权、参与权与监督权。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（一）主动公开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根据上级要求以及实际工作内容，按照</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公开是常态、不公开是例外</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的原则，我</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街道高度重视政府信息公开工作，明确落实专业工作人员来落实负责组织、协调和推进政府信息工作的开展，</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确保</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政府信息公开各项工作的顺利推进</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，保障全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街道</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居民的知情权。</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2022年我街道共公开政府信息211条，其中公示公告9条、政策文件解读5条、工作动态48条、概况信息3条、财政直达资金18条、计划总结2条、财政预决算2条、村居务公开88条。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（二）依申请公开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 w:hAnsi="仿宋" w:eastAsia="仿宋_GB2312" w:cs="仿宋"/>
          <w:color w:val="000000" w:themeColor="text1"/>
          <w:sz w:val="32"/>
          <w:szCs w:val="32"/>
          <w:lang w:val="en-US" w:eastAsia="zh-CN"/>
          <w14:textFill>
            <w14:solidFill>
              <w14:schemeClr w14:val="tx1"/>
            </w14:solidFill>
          </w14:textFill>
        </w:rPr>
        <w:t>我街道高度重视依申请公开工作，积极完善依申请公开管理，按照要求依申请公开受理机构、受理时间、申请程序、监督方式、答复时限等方面的相关规定和信息进行公开，</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建立和落实政府信息公开责任制，按照“谁主管、谁负责”的原则，将责任落实到具体负责人，建立虚假或不完整信息澄清机制、政府信息发布协调机制和政府信息保密审查制度，全年无泄密行为发生。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default" w:ascii="仿宋"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是积极组织我街道负责政府信息公开工作的分管领导和工作人员认真学习新《条例》，熟悉掌握新《条例》相关规定，确保政府信息公开工作在合法的前提下进行。二是在公开内容方面，我街道重点公开了群众关心的热点、难点、焦点问题，重大决策事项、重点工程事项等。三是多形式、多渠道进行政府信息公开。在政府门户网站开设信息公开栏目，全方位展现我街道信息公开工作和政府相关信息，充分发挥公报、广播、电视、LED显示屏等新闻媒体的作用，多形式、多渠道体现政府主动公开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（四）政府信息公开平台建设</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default" w:ascii="仿宋" w:hAnsi="仿宋" w:eastAsia="仿宋_GB2312" w:cs="仿宋"/>
          <w:color w:val="000000" w:themeColor="text1"/>
          <w:sz w:val="32"/>
          <w:szCs w:val="32"/>
          <w:highlight w:val="cyan"/>
          <w:lang w:val="en-US" w:eastAsia="zh-CN"/>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着力打造政务网站、政务</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新媒体、手机APP等，以多样化的公开方式</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拓宽政务信息发布的覆盖范围</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仿宋" w:hAnsi="仿宋" w:eastAsia="仿宋_GB2312" w:cs="仿宋"/>
          <w:color w:val="000000" w:themeColor="text1"/>
          <w:kern w:val="2"/>
          <w:sz w:val="32"/>
          <w:szCs w:val="32"/>
          <w:lang w:val="en-US" w:eastAsia="zh-CN" w:bidi="ar-SA"/>
          <w14:textFill>
            <w14:solidFill>
              <w14:schemeClr w14:val="tx1"/>
            </w14:solidFill>
          </w14:textFill>
        </w:rPr>
        <w:t>线上线下对政务公开网站实行常态化管理，</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督促各部门对所需发布信息及时上报，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街道</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政务公开负责人审核汇总后进行发布</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设有政务公开专区，将政务公开工作从线上拓展至线下，为全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街道</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居民获取信息提供了更广阔的渠道。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（五）监督保障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制定完善政府信息公开考核评议和责任追究等制度，将政府信息公开与各项重点工作同部署、同实施、同考核。通过目标考核、社会评议和舆论监督等途径，加强监督检查，确保政府信息公开各项重点工作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黑体" w:hAnsi="黑体" w:eastAsia="黑体" w:cs="黑体"/>
          <w:b/>
          <w:bCs/>
          <w:i w:val="0"/>
          <w:caps w:val="0"/>
          <w:color w:val="333333"/>
          <w:spacing w:val="0"/>
          <w:sz w:val="32"/>
          <w:szCs w:val="32"/>
          <w:u w:val="none"/>
        </w:rPr>
      </w:pPr>
      <w:r>
        <w:rPr>
          <w:rFonts w:hint="eastAsia" w:ascii="黑体" w:hAnsi="黑体" w:eastAsia="黑体" w:cs="黑体"/>
          <w:b/>
          <w:bCs/>
          <w:i w:val="0"/>
          <w:caps w:val="0"/>
          <w:color w:val="333333"/>
          <w:spacing w:val="0"/>
          <w:sz w:val="32"/>
          <w:szCs w:val="32"/>
          <w:u w:val="none"/>
          <w:shd w:val="clear" w:fill="FFFFFF"/>
        </w:rPr>
        <w:t>二、</w:t>
      </w:r>
      <w:r>
        <w:rPr>
          <w:rFonts w:hint="eastAsia" w:ascii="黑体" w:hAnsi="黑体" w:eastAsia="黑体" w:cs="黑体"/>
          <w:b/>
          <w:bCs/>
          <w:i w:val="0"/>
          <w:caps w:val="0"/>
          <w:color w:val="333333"/>
          <w:spacing w:val="0"/>
          <w:sz w:val="32"/>
          <w:szCs w:val="32"/>
          <w:u w:val="none"/>
          <w:shd w:val="clear" w:fill="FFFFFF"/>
          <w:lang w:eastAsia="zh-CN"/>
        </w:rPr>
        <w:t>行政机关</w:t>
      </w:r>
      <w:r>
        <w:rPr>
          <w:rFonts w:hint="eastAsia" w:ascii="黑体" w:hAnsi="黑体" w:eastAsia="黑体" w:cs="黑体"/>
          <w:b/>
          <w:bCs/>
          <w:i w:val="0"/>
          <w:caps w:val="0"/>
          <w:color w:val="333333"/>
          <w:spacing w:val="0"/>
          <w:sz w:val="32"/>
          <w:szCs w:val="32"/>
          <w:u w:val="none"/>
          <w:shd w:val="clear" w:fill="FFFFFF"/>
        </w:rPr>
        <w:t>主动公开政府信息情况</w:t>
      </w:r>
    </w:p>
    <w:tbl>
      <w:tblPr>
        <w:tblStyle w:val="3"/>
        <w:tblW w:w="9020" w:type="dxa"/>
        <w:jc w:val="center"/>
        <w:shd w:val="clear" w:color="auto" w:fill="auto"/>
        <w:tblLayout w:type="fixed"/>
        <w:tblCellMar>
          <w:top w:w="0" w:type="dxa"/>
          <w:left w:w="0" w:type="dxa"/>
          <w:bottom w:w="0" w:type="dxa"/>
          <w:right w:w="0" w:type="dxa"/>
        </w:tblCellMar>
      </w:tblPr>
      <w:tblGrid>
        <w:gridCol w:w="1730"/>
        <w:gridCol w:w="2430"/>
        <w:gridCol w:w="2430"/>
        <w:gridCol w:w="2430"/>
      </w:tblGrid>
      <w:tr>
        <w:tblPrEx>
          <w:shd w:val="clear" w:color="auto" w:fill="auto"/>
          <w:tblCellMar>
            <w:top w:w="0" w:type="dxa"/>
            <w:left w:w="0" w:type="dxa"/>
            <w:bottom w:w="0" w:type="dxa"/>
            <w:right w:w="0" w:type="dxa"/>
          </w:tblCellMar>
        </w:tblPrEx>
        <w:trPr>
          <w:trHeight w:val="623" w:hRule="atLeast"/>
          <w:jc w:val="center"/>
        </w:trPr>
        <w:tc>
          <w:tcPr>
            <w:tcW w:w="902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r>
      <w:tr>
        <w:tblPrEx>
          <w:tblCellMar>
            <w:top w:w="0" w:type="dxa"/>
            <w:left w:w="0" w:type="dxa"/>
            <w:bottom w:w="0" w:type="dxa"/>
            <w:right w:w="0" w:type="dxa"/>
          </w:tblCellMar>
        </w:tblPrEx>
        <w:trPr>
          <w:trHeight w:val="623" w:hRule="atLeast"/>
          <w:jc w:val="center"/>
        </w:trPr>
        <w:tc>
          <w:tcPr>
            <w:tcW w:w="90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第二十条第（五）项</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29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本年处理决定数量</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29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sz w:val="18"/>
                <w:szCs w:val="18"/>
              </w:rPr>
            </w:pPr>
            <w:r>
              <w:rPr>
                <w:rFonts w:hint="eastAsia" w:ascii="Calibri" w:hAnsi="Calibri" w:cs="Calibri"/>
                <w:kern w:val="0"/>
                <w:sz w:val="18"/>
                <w:szCs w:val="18"/>
                <w:lang w:val="en-US" w:eastAsia="zh-CN" w:bidi="ar"/>
              </w:rPr>
              <w:t>0</w:t>
            </w:r>
          </w:p>
        </w:tc>
      </w:tr>
      <w:tr>
        <w:tblPrEx>
          <w:tblCellMar>
            <w:top w:w="0" w:type="dxa"/>
            <w:left w:w="0" w:type="dxa"/>
            <w:bottom w:w="0" w:type="dxa"/>
            <w:right w:w="0" w:type="dxa"/>
          </w:tblCellMar>
        </w:tblPrEx>
        <w:trPr>
          <w:trHeight w:val="623" w:hRule="atLeast"/>
          <w:jc w:val="center"/>
        </w:trPr>
        <w:tc>
          <w:tcPr>
            <w:tcW w:w="90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第二十条第（六）项</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290"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18"/>
                <w:szCs w:val="18"/>
              </w:rPr>
            </w:pPr>
            <w:r>
              <w:rPr>
                <w:rFonts w:hint="eastAsia" w:ascii="宋体" w:hAnsi="宋体" w:eastAsia="宋体" w:cs="宋体"/>
                <w:color w:val="000000"/>
                <w:kern w:val="0"/>
                <w:sz w:val="18"/>
                <w:szCs w:val="18"/>
                <w:lang w:val="en-US" w:eastAsia="zh-CN" w:bidi="ar"/>
              </w:rPr>
              <w:t>本年处理决定数量</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29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sz w:val="18"/>
                <w:szCs w:val="18"/>
              </w:rPr>
            </w:pPr>
            <w:r>
              <w:rPr>
                <w:rFonts w:hint="eastAsia"/>
                <w:sz w:val="18"/>
                <w:szCs w:val="18"/>
                <w:lang w:val="en-US" w:eastAsia="zh-CN"/>
              </w:rPr>
              <w:t>0</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29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sz w:val="18"/>
                <w:szCs w:val="18"/>
              </w:rPr>
            </w:pPr>
            <w:r>
              <w:rPr>
                <w:rFonts w:hint="eastAsia"/>
                <w:sz w:val="18"/>
                <w:szCs w:val="18"/>
                <w:lang w:val="en-US" w:eastAsia="zh-CN"/>
              </w:rPr>
              <w:t>0</w:t>
            </w:r>
          </w:p>
        </w:tc>
      </w:tr>
      <w:tr>
        <w:tblPrEx>
          <w:tblCellMar>
            <w:top w:w="0" w:type="dxa"/>
            <w:left w:w="0" w:type="dxa"/>
            <w:bottom w:w="0" w:type="dxa"/>
            <w:right w:w="0" w:type="dxa"/>
          </w:tblCellMar>
        </w:tblPrEx>
        <w:trPr>
          <w:trHeight w:val="623" w:hRule="atLeast"/>
          <w:jc w:val="center"/>
        </w:trPr>
        <w:tc>
          <w:tcPr>
            <w:tcW w:w="90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第二十条第（八）项</w:t>
            </w:r>
          </w:p>
        </w:tc>
      </w:tr>
      <w:tr>
        <w:tblPrEx>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29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本年收费金额（单位：万元）</w:t>
            </w:r>
          </w:p>
        </w:tc>
      </w:tr>
      <w:tr>
        <w:tblPrEx>
          <w:tblCellMar>
            <w:top w:w="0" w:type="dxa"/>
            <w:left w:w="0" w:type="dxa"/>
            <w:bottom w:w="0" w:type="dxa"/>
            <w:right w:w="0" w:type="dxa"/>
          </w:tblCellMar>
        </w:tblPrEx>
        <w:trPr>
          <w:trHeight w:val="68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29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18"/>
                <w:szCs w:val="18"/>
                <w:lang w:val="en-US" w:eastAsia="zh-CN"/>
              </w:rPr>
            </w:pPr>
            <w:r>
              <w:rPr>
                <w:rFonts w:hint="eastAsia" w:ascii="宋体"/>
                <w:sz w:val="18"/>
                <w:szCs w:val="18"/>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ind w:firstLine="640"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3"/>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bl>
    <w:p>
      <w:pPr>
        <w:keepNext w:val="0"/>
        <w:keepLines w:val="0"/>
        <w:pageBreakBefore w:val="0"/>
        <w:widowControl w:val="0"/>
        <w:kinsoku/>
        <w:wordWrap/>
        <w:overflowPunct/>
        <w:topLinePunct w:val="0"/>
        <w:autoSpaceDE/>
        <w:autoSpaceDN/>
        <w:bidi w:val="0"/>
        <w:adjustRightInd/>
        <w:snapToGrid/>
        <w:spacing w:line="520" w:lineRule="exact"/>
        <w:ind w:right="0" w:rightChars="0" w:firstLine="616" w:firstLineChars="200"/>
        <w:textAlignment w:val="auto"/>
        <w:outlineLvl w:val="9"/>
        <w:rPr>
          <w:rFonts w:hint="default" w:ascii="仿宋" w:hAnsi="仿宋" w:eastAsia="仿宋_GB2312" w:cs="仿宋"/>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pacing w:val="-6"/>
          <w:sz w:val="32"/>
          <w:szCs w:val="32"/>
          <w:highlight w:val="none"/>
          <w:lang w:val="en-US" w:eastAsia="zh-CN"/>
          <w14:textFill>
            <w14:solidFill>
              <w14:schemeClr w14:val="tx1"/>
            </w14:solidFill>
          </w14:textFill>
        </w:rPr>
        <w:t>四、因政府信息公开工作被申请行政复议、提起行政诉讼情况</w:t>
      </w:r>
    </w:p>
    <w:tbl>
      <w:tblPr>
        <w:tblStyle w:val="3"/>
        <w:tblW w:w="94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69"/>
        <w:gridCol w:w="669"/>
        <w:gridCol w:w="669"/>
        <w:gridCol w:w="669"/>
        <w:gridCol w:w="478"/>
        <w:gridCol w:w="669"/>
        <w:gridCol w:w="669"/>
        <w:gridCol w:w="669"/>
        <w:gridCol w:w="669"/>
        <w:gridCol w:w="477"/>
        <w:gridCol w:w="669"/>
        <w:gridCol w:w="668"/>
        <w:gridCol w:w="670"/>
        <w:gridCol w:w="668"/>
        <w:gridCol w:w="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585" w:hRule="atLeast"/>
          <w:jc w:val="center"/>
        </w:trPr>
        <w:tc>
          <w:tcPr>
            <w:tcW w:w="3154"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行政复议</w:t>
            </w:r>
          </w:p>
        </w:tc>
        <w:tc>
          <w:tcPr>
            <w:tcW w:w="6306" w:type="dxa"/>
            <w:gridSpan w:val="10"/>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6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结果维持</w:t>
            </w:r>
          </w:p>
        </w:tc>
        <w:tc>
          <w:tcPr>
            <w:tcW w:w="6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结果纠正</w:t>
            </w:r>
          </w:p>
        </w:tc>
        <w:tc>
          <w:tcPr>
            <w:tcW w:w="6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其他结果</w:t>
            </w:r>
          </w:p>
        </w:tc>
        <w:tc>
          <w:tcPr>
            <w:tcW w:w="6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尚未审结</w:t>
            </w:r>
          </w:p>
        </w:tc>
        <w:tc>
          <w:tcPr>
            <w:tcW w:w="4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总计</w:t>
            </w:r>
          </w:p>
        </w:tc>
        <w:tc>
          <w:tcPr>
            <w:tcW w:w="3153"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未经复议直接起诉</w:t>
            </w:r>
          </w:p>
        </w:tc>
        <w:tc>
          <w:tcPr>
            <w:tcW w:w="3153"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4" w:hRule="atLeast"/>
          <w:jc w:val="center"/>
        </w:trPr>
        <w:tc>
          <w:tcPr>
            <w:tcW w:w="6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6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6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6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47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结果维持</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结果纠正</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其他结果</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尚未审结</w:t>
            </w:r>
          </w:p>
        </w:tc>
        <w:tc>
          <w:tcPr>
            <w:tcW w:w="47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总计</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结果维持</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结果纠正</w:t>
            </w:r>
          </w:p>
        </w:tc>
        <w:tc>
          <w:tcPr>
            <w:tcW w:w="6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其他结果</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尚未审结</w:t>
            </w:r>
          </w:p>
        </w:tc>
        <w:tc>
          <w:tcPr>
            <w:tcW w:w="4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92" w:hRule="atLeast"/>
          <w:jc w:val="center"/>
        </w:trPr>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lang w:val="en-US" w:eastAsia="zh-CN"/>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4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47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4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r>
    </w:tbl>
    <w:p>
      <w:pPr>
        <w:keepNext w:val="0"/>
        <w:keepLines w:val="0"/>
        <w:pageBreakBefore w:val="0"/>
        <w:widowControl/>
        <w:kinsoku/>
        <w:wordWrap/>
        <w:overflowPunct/>
        <w:topLinePunct w:val="0"/>
        <w:autoSpaceDE/>
        <w:autoSpaceDN/>
        <w:bidi w:val="0"/>
        <w:adjustRightInd/>
        <w:snapToGrid/>
        <w:spacing w:line="520" w:lineRule="exact"/>
        <w:ind w:firstLine="630"/>
        <w:jc w:val="both"/>
        <w:textAlignment w:val="auto"/>
        <w:rPr>
          <w:rFonts w:hint="eastAsia" w:ascii="仿宋" w:hAnsi="仿宋" w:eastAsia="仿宋_GB2312" w:cs="仿宋"/>
          <w:sz w:val="32"/>
          <w:szCs w:val="32"/>
          <w:lang w:val="en-US" w:eastAsia="zh-CN"/>
        </w:rPr>
      </w:pPr>
      <w:r>
        <w:rPr>
          <w:rFonts w:hint="eastAsia" w:ascii="黑体" w:hAnsi="黑体" w:eastAsia="黑体" w:cs="黑体"/>
          <w:sz w:val="32"/>
          <w:szCs w:val="32"/>
          <w:lang w:val="en-US" w:eastAsia="zh-CN"/>
        </w:rPr>
        <w:t>五、政府信息公开工作存在的主要问题及改进情况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（一）存在问题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6" w:firstLineChars="0"/>
        <w:jc w:val="both"/>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一是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政务公开信息类型及内容覆盖不够全面，对公众关心的热点、焦点问题信息关注、回应不够。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6" w:firstLineChars="0"/>
        <w:jc w:val="both"/>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二是</w:t>
      </w: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依法主动公开意识有待增强。少数干部职工对政府信息公开工作的重要性认识依然不足，怕公开、烦公开等惯性倾向依然存在，影响到主动公开工作的落实。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80"/>
        <w:jc w:val="both"/>
        <w:textAlignment w:val="auto"/>
        <w:outlineLvl w:val="9"/>
        <w:rPr>
          <w:rFonts w:hint="eastAsia" w:ascii="仿宋_GB2312" w:hAnsi="仿宋_GB2312" w:eastAsia="仿宋_GB2312" w:cs="仿宋_GB2312"/>
          <w:b/>
          <w:bCs/>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u w:val="none"/>
          <w:shd w:val="clear" w:fill="FFFFFF"/>
          <w14:textFill>
            <w14:solidFill>
              <w14:schemeClr w14:val="tx1"/>
            </w14:solidFill>
          </w14:textFill>
        </w:rPr>
        <w:t>（二）改进情况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一是要进一步提高思想认识。通过宣传引导，进一步</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提高</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我街道</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对政府信息公开工作重要性的认识，加强对公务人员的政府信息公开知识教育，把</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新</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《条例》的要求融入到日常业务工作中，成为行政机关工作流程的一个重要环节，自觉推行信息公开。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二是进一步提升工作能力。组织广大干部深入学习</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新</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《条例》和相关法律法规，继续加强对政府信息公开工作人员的业务培训，使他们能全面地把握</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新</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《条例》精神，提高执行</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新</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《条例》的能力，进一步提升工作水平和工作质量。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三是进一步规范公开内容。按照国务院办公厅《政府信息公开目录系统实施指引》的要求，进一步加强政府信息公开目录建设，完善政府信息公开内容。同时，从政府信息公开的重点领域入手，不断提高公开信息的全面性、时效性和规范性，特别是要切实抓好群众关注、涉及群众切身利益的各类政府信息的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四是进一步完善工作制度。按照新《条例》和上级有关规定，制定完善我街道信息公开工作制度、考核制度，对信息公开工作进行严格的检查和考核，形成工作有部署、实施有检查、定期有通报、年终有考核、违规违纪有责任追究的工作机制，确保政府信息公开工作扎实有序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750" w:firstLineChars="250"/>
        <w:jc w:val="both"/>
        <w:textAlignment w:val="auto"/>
        <w:outlineLvl w:val="9"/>
        <w:rPr>
          <w:rFonts w:hint="eastAsia" w:ascii="黑体" w:hAnsi="黑体" w:eastAsia="黑体" w:cs="黑体"/>
          <w:i w:val="0"/>
          <w:caps w:val="0"/>
          <w:color w:val="000000" w:themeColor="text1"/>
          <w:spacing w:val="0"/>
          <w:sz w:val="30"/>
          <w:szCs w:val="30"/>
          <w:u w:val="none"/>
          <w14:textFill>
            <w14:solidFill>
              <w14:schemeClr w14:val="tx1"/>
            </w14:solidFill>
          </w14:textFill>
        </w:rPr>
      </w:pPr>
      <w:r>
        <w:rPr>
          <w:rFonts w:hint="eastAsia" w:ascii="黑体" w:hAnsi="黑体" w:eastAsia="黑体" w:cs="黑体"/>
          <w:i w:val="0"/>
          <w:caps w:val="0"/>
          <w:color w:val="000000" w:themeColor="text1"/>
          <w:spacing w:val="0"/>
          <w:sz w:val="30"/>
          <w:szCs w:val="30"/>
          <w:u w:val="none"/>
          <w:shd w:val="clear" w:fill="FFFFFF"/>
          <w14:textFill>
            <w14:solidFill>
              <w14:schemeClr w14:val="tx1"/>
            </w14:solidFill>
          </w14:textFill>
        </w:rPr>
        <w:t>六、其他需要报告的事项</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none"/>
          <w:shd w:val="clear" w:fill="FFFFFF"/>
          <w:lang w:val="en-US" w:eastAsia="zh-CN" w:bidi="ar"/>
          <w14:textFill>
            <w14:solidFill>
              <w14:schemeClr w14:val="tx1"/>
            </w14:solidFill>
          </w14:textFill>
        </w:rPr>
        <w:t>2022年度，本机关无收取信息处理费情况。</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黑体" w:hAnsi="黑体" w:eastAsia="黑体" w:cs="黑体"/>
          <w:color w:val="000000" w:themeColor="text1"/>
          <w:sz w:val="24"/>
          <w:szCs w:val="32"/>
          <w14:textFill>
            <w14:solidFill>
              <w14:schemeClr w14:val="tx1"/>
            </w14:solidFill>
          </w14:textFill>
        </w:rPr>
      </w:pPr>
    </w:p>
    <w:p/>
    <w:sectPr>
      <w:pgSz w:w="11906" w:h="16838"/>
      <w:pgMar w:top="1417" w:right="1474" w:bottom="141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67F73"/>
    <w:rsid w:val="029B455E"/>
    <w:rsid w:val="092473A4"/>
    <w:rsid w:val="29E31F61"/>
    <w:rsid w:val="35687656"/>
    <w:rsid w:val="45EE1A68"/>
    <w:rsid w:val="5486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2023-01-13T03:48:00Z</dcterms:created>
  <dc:creator>Administrator</dc:creator>
  <cp:lastModifiedBy>Administrator</cp:lastModifiedBy>
  <dcterms:modified xsi:type="dcterms:W3CDTF">2023-01-17T02:40:48Z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