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292" w:beforeLines="50" w:line="600" w:lineRule="exact"/>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樟树市鹿江街道2023年政府信息公开工作</w:t>
      </w:r>
    </w:p>
    <w:p>
      <w:pPr>
        <w:keepNext w:val="0"/>
        <w:keepLines w:val="0"/>
        <w:pageBreakBefore w:val="0"/>
        <w:widowControl w:val="0"/>
        <w:kinsoku/>
        <w:wordWrap/>
        <w:overflowPunct/>
        <w:topLinePunct w:val="0"/>
        <w:autoSpaceDE/>
        <w:autoSpaceDN/>
        <w:bidi w:val="0"/>
        <w:adjustRightInd/>
        <w:snapToGrid/>
        <w:spacing w:before="292" w:beforeLines="50" w:line="600" w:lineRule="exact"/>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年度报告</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880" w:firstLineChars="200"/>
        <w:jc w:val="both"/>
        <w:textAlignment w:val="auto"/>
        <w:outlineLvl w:val="9"/>
        <w:rPr>
          <w:rFonts w:hint="eastAsia" w:ascii="仿宋" w:hAnsi="仿宋" w:eastAsia="仿宋_GB2312" w:cs="仿宋"/>
          <w:sz w:val="44"/>
          <w:szCs w:val="44"/>
          <w:lang w:val="en-US" w:eastAsia="zh-CN"/>
        </w:rPr>
      </w:pP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right="0" w:rightChars="0" w:firstLine="640" w:firstLineChars="200"/>
        <w:jc w:val="both"/>
        <w:textAlignment w:val="auto"/>
        <w:outlineLvl w:val="9"/>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 w:hAnsi="仿宋" w:eastAsia="仿宋_GB2312" w:cs="仿宋"/>
          <w:color w:val="000000" w:themeColor="text1"/>
          <w:sz w:val="32"/>
          <w:szCs w:val="32"/>
          <w:lang w:val="en-US" w:eastAsia="zh-CN"/>
          <w14:textFill>
            <w14:solidFill>
              <w14:schemeClr w14:val="tx1"/>
            </w14:solidFill>
          </w14:textFill>
        </w:rPr>
        <w:t>本</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报告依据《中华人民共和国政府信息公开条例》（国务院令第711号，以下简称新《条例》）和《国务院办公厅政府信息与政务公开办公室关于政府信息公开工作年度报告有关事项的通知》（国办公开办函〔2019〕60号）要求，由鹿江街道办事处结合樟树市人民政府网站、樟树市政府信息公开平台等有关统计数据编制。本年度报告中所列数据的统计期限自2023年1月1日起至2023年12月31日止。全文包括总体情况，主动公开政府信息情况，收到和处理政府信息公开申请情况，政府信息公开行政复议、行政诉讼情况，存在的主要问题及改进情况，其他需要报告的事项共六部分组成。本年度报告的电子版可以从樟树市人民政府网站（http://www.zhangshu.gov.cn）下载。如对本报告有任何疑问，请与樟树市鹿江街道办事处办公室联系（地址：樟树市鹿江街道办事处，电话：0795-7161076，邮编：331200）。  </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right="0" w:rightChars="0" w:firstLine="640" w:firstLineChars="200"/>
        <w:jc w:val="both"/>
        <w:textAlignment w:val="auto"/>
        <w:outlineLvl w:val="9"/>
        <w:rPr>
          <w:rFonts w:hint="eastAsia" w:ascii="黑体" w:hAnsi="黑体" w:eastAsia="黑体" w:cs="黑体"/>
          <w:b w:val="0"/>
          <w:bCs w:val="0"/>
          <w:i w:val="0"/>
          <w:caps w:val="0"/>
          <w:color w:val="000000" w:themeColor="text1"/>
          <w:spacing w:val="0"/>
          <w:sz w:val="32"/>
          <w:szCs w:val="32"/>
          <w:u w:val="none"/>
          <w:shd w:val="clear" w:fill="FFFFFF"/>
          <w14:textFill>
            <w14:solidFill>
              <w14:schemeClr w14:val="tx1"/>
            </w14:solidFill>
          </w14:textFill>
        </w:rPr>
      </w:pPr>
      <w:r>
        <w:rPr>
          <w:rFonts w:hint="eastAsia" w:ascii="黑体" w:hAnsi="黑体" w:eastAsia="黑体" w:cs="黑体"/>
          <w:b w:val="0"/>
          <w:bCs w:val="0"/>
          <w:color w:val="000000" w:themeColor="text1"/>
          <w:sz w:val="32"/>
          <w:szCs w:val="32"/>
          <w:lang w:val="en-US" w:eastAsia="zh-CN"/>
          <w14:textFill>
            <w14:solidFill>
              <w14:schemeClr w14:val="tx1"/>
            </w14:solidFill>
          </w14:textFill>
        </w:rPr>
        <w:t>一、</w:t>
      </w:r>
      <w:r>
        <w:rPr>
          <w:rFonts w:hint="eastAsia" w:ascii="黑体" w:hAnsi="黑体" w:eastAsia="黑体" w:cs="黑体"/>
          <w:b w:val="0"/>
          <w:bCs w:val="0"/>
          <w:i w:val="0"/>
          <w:caps w:val="0"/>
          <w:color w:val="000000" w:themeColor="text1"/>
          <w:spacing w:val="0"/>
          <w:sz w:val="32"/>
          <w:szCs w:val="32"/>
          <w:u w:val="none"/>
          <w:shd w:val="clear" w:fill="FFFFFF"/>
          <w14:textFill>
            <w14:solidFill>
              <w14:schemeClr w14:val="tx1"/>
            </w14:solidFill>
          </w14:textFill>
        </w:rPr>
        <w:t>总体情况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420"/>
        <w:jc w:val="both"/>
        <w:textAlignment w:val="auto"/>
        <w:rPr>
          <w:rFonts w:hint="eastAsia" w:ascii="仿宋_GB2312" w:hAnsi="仿宋_GB2312" w:eastAsia="仿宋_GB2312" w:cs="仿宋_GB2312"/>
          <w:i w:val="0"/>
          <w:caps w:val="0"/>
          <w:color w:val="000000" w:themeColor="text1"/>
          <w:spacing w:val="0"/>
          <w:sz w:val="32"/>
          <w:szCs w:val="32"/>
          <w:u w:val="none"/>
          <w:shd w:val="clear" w:fill="FFFFFF"/>
          <w:lang w:val="en-US" w:eastAsia="zh-CN"/>
          <w14:textFill>
            <w14:solidFill>
              <w14:schemeClr w14:val="tx1"/>
            </w14:solidFill>
          </w14:textFill>
        </w:rPr>
      </w:pPr>
      <w:r>
        <w:rPr>
          <w:rFonts w:hint="default" w:ascii="仿宋_GB2312" w:hAnsi="仿宋_GB2312" w:eastAsia="仿宋_GB2312" w:cs="仿宋_GB2312"/>
          <w:color w:val="000000" w:themeColor="text1"/>
          <w:kern w:val="2"/>
          <w:sz w:val="32"/>
          <w:szCs w:val="32"/>
          <w:lang w:val="en-US" w:eastAsia="zh-CN" w:bidi="ar-SA"/>
          <w14:textFill>
            <w14:solidFill>
              <w14:schemeClr w14:val="tx1"/>
            </w14:solidFill>
          </w14:textFill>
        </w:rPr>
        <w:t>　</w:t>
      </w: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2023年，我街道紧紧围绕市委、市政府决策部署和中心工作，按照市委及街道党委、办事处的工作安排，进一步完善体制机制，加强领导，明确职责，确保政府信息公开及时准确，扩大政府信息公开的内容和形式，继续推进政务公开工作有序、高效开展，切实保障公众的知情权、参与权和监督权。</w:t>
      </w:r>
      <w:r>
        <w:rPr>
          <w:rFonts w:hint="eastAsia" w:ascii="仿宋_GB2312" w:hAnsi="仿宋_GB2312" w:eastAsia="仿宋_GB2312" w:cs="仿宋_GB2312"/>
          <w:i w:val="0"/>
          <w:iCs w:val="0"/>
          <w:caps w:val="0"/>
          <w:color w:val="000000"/>
          <w:spacing w:val="0"/>
          <w:sz w:val="32"/>
          <w:szCs w:val="32"/>
          <w:shd w:val="clear" w:fill="FFFFFF"/>
          <w:lang w:val="en-US" w:eastAsia="zh-CN"/>
        </w:rPr>
        <w:t>坚持“应公开尽公开”，将政府信息公开作为政府施政的基本准则和自身建设的重要抓手，积极推进政务公开标准化与规范化，全面提升政务工作水平。</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jc w:val="both"/>
        <w:textAlignment w:val="auto"/>
        <w:outlineLvl w:val="9"/>
        <w:rPr>
          <w:rFonts w:hint="eastAsia" w:ascii="楷体" w:hAnsi="楷体" w:eastAsia="楷体" w:cs="楷体"/>
          <w:b/>
          <w:bCs/>
          <w:color w:val="000000" w:themeColor="text1"/>
          <w:sz w:val="32"/>
          <w:szCs w:val="32"/>
          <w:lang w:val="en-US" w:eastAsia="zh-CN"/>
          <w14:textFill>
            <w14:solidFill>
              <w14:schemeClr w14:val="tx1"/>
            </w14:solidFill>
          </w14:textFill>
        </w:rPr>
      </w:pPr>
      <w:r>
        <w:rPr>
          <w:rFonts w:hint="eastAsia" w:ascii="楷体" w:hAnsi="楷体" w:eastAsia="楷体" w:cs="楷体"/>
          <w:b/>
          <w:bCs/>
          <w:color w:val="000000" w:themeColor="text1"/>
          <w:sz w:val="32"/>
          <w:szCs w:val="32"/>
          <w:lang w:val="en-US" w:eastAsia="zh-CN"/>
          <w14:textFill>
            <w14:solidFill>
              <w14:schemeClr w14:val="tx1"/>
            </w14:solidFill>
          </w14:textFill>
        </w:rPr>
        <w:t>（一）主动公开</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outlineLvl w:val="9"/>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鹿江街道政府信息公开工作严格按照上级部门的总体要求，妥善处理公开与保密的关系，合理界定信息公开范围，做到积极稳妥，及时准确公开、公正、便民。2023年我街道通过政府门户网站主动公开政府信息396条，其中公示公告8条、政策文件解读7条、工作动态55条、计划总结1条、乡镇之窗1条、专项资金2条、财政预决算2条、服务公开信息4条、结果公开信息4条、重点领域信息公开49条、财政直达资金50条、村（居）务公开213条。</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jc w:val="both"/>
        <w:textAlignment w:val="auto"/>
        <w:outlineLvl w:val="9"/>
        <w:rPr>
          <w:rFonts w:hint="eastAsia" w:ascii="楷体" w:hAnsi="楷体" w:eastAsia="楷体" w:cs="楷体"/>
          <w:b/>
          <w:bCs/>
          <w:color w:val="000000" w:themeColor="text1"/>
          <w:sz w:val="32"/>
          <w:szCs w:val="32"/>
          <w:lang w:val="en-US" w:eastAsia="zh-CN"/>
          <w14:textFill>
            <w14:solidFill>
              <w14:schemeClr w14:val="tx1"/>
            </w14:solidFill>
          </w14:textFill>
        </w:rPr>
      </w:pPr>
      <w:r>
        <w:rPr>
          <w:rFonts w:hint="eastAsia" w:ascii="楷体" w:hAnsi="楷体" w:eastAsia="楷体" w:cs="楷体"/>
          <w:b/>
          <w:bCs/>
          <w:color w:val="000000" w:themeColor="text1"/>
          <w:sz w:val="32"/>
          <w:szCs w:val="32"/>
          <w:lang w:val="en-US" w:eastAsia="zh-CN"/>
          <w14:textFill>
            <w14:solidFill>
              <w14:schemeClr w14:val="tx1"/>
            </w14:solidFill>
          </w14:textFill>
        </w:rPr>
        <w:t>（二）依申请公开</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outlineLvl w:val="9"/>
        <w:rPr>
          <w:rFonts w:hint="eastAsia" w:ascii="仿宋" w:hAnsi="仿宋" w:eastAsia="仿宋" w:cs="仿宋"/>
          <w:b w:val="0"/>
          <w:bCs w:val="0"/>
          <w:color w:val="000000" w:themeColor="text1"/>
          <w:sz w:val="32"/>
          <w:szCs w:val="32"/>
          <w:highlight w:val="yellow"/>
          <w:lang w:val="en-US" w:eastAsia="zh-CN"/>
          <w14:textFill>
            <w14:solidFill>
              <w14:schemeClr w14:val="tx1"/>
            </w14:solidFill>
          </w14:textFill>
        </w:rPr>
      </w:pPr>
      <w:r>
        <w:rPr>
          <w:rFonts w:hint="eastAsia" w:ascii="仿宋_GB2312" w:hAnsi="仿宋_GB2312" w:eastAsia="仿宋_GB2312" w:cs="仿宋_GB2312"/>
          <w:i w:val="0"/>
          <w:iCs w:val="0"/>
          <w:caps w:val="0"/>
          <w:color w:val="000000"/>
          <w:spacing w:val="0"/>
          <w:sz w:val="32"/>
          <w:szCs w:val="32"/>
          <w:shd w:val="clear" w:fill="FFFFFF"/>
        </w:rPr>
        <w:t>坚持完善依申请公开制度，动态更新完善政府信息公开指南，优化和规范内部办理流程，畅通申请渠道。202</w:t>
      </w:r>
      <w:r>
        <w:rPr>
          <w:rFonts w:hint="eastAsia" w:ascii="仿宋_GB2312" w:hAnsi="仿宋_GB2312" w:eastAsia="仿宋_GB2312" w:cs="仿宋_GB2312"/>
          <w:i w:val="0"/>
          <w:iCs w:val="0"/>
          <w:caps w:val="0"/>
          <w:color w:val="000000"/>
          <w:spacing w:val="0"/>
          <w:sz w:val="32"/>
          <w:szCs w:val="32"/>
          <w:shd w:val="clear" w:fill="FFFFFF"/>
          <w:lang w:val="en-US" w:eastAsia="zh-CN"/>
        </w:rPr>
        <w:t>3</w:t>
      </w:r>
      <w:r>
        <w:rPr>
          <w:rFonts w:hint="eastAsia" w:ascii="仿宋_GB2312" w:hAnsi="仿宋_GB2312" w:eastAsia="仿宋_GB2312" w:cs="仿宋_GB2312"/>
          <w:i w:val="0"/>
          <w:iCs w:val="0"/>
          <w:caps w:val="0"/>
          <w:color w:val="000000"/>
          <w:spacing w:val="0"/>
          <w:sz w:val="32"/>
          <w:szCs w:val="32"/>
          <w:shd w:val="clear" w:fill="FFFFFF"/>
        </w:rPr>
        <w:t>年度</w:t>
      </w:r>
      <w:r>
        <w:rPr>
          <w:rFonts w:hint="eastAsia" w:ascii="仿宋_GB2312" w:hAnsi="仿宋_GB2312" w:eastAsia="仿宋_GB2312" w:cs="仿宋_GB2312"/>
          <w:i w:val="0"/>
          <w:iCs w:val="0"/>
          <w:caps w:val="0"/>
          <w:color w:val="000000"/>
          <w:spacing w:val="0"/>
          <w:sz w:val="32"/>
          <w:szCs w:val="32"/>
          <w:shd w:val="clear" w:fill="FFFFFF"/>
          <w:lang w:eastAsia="zh-CN"/>
        </w:rPr>
        <w:t>我街道</w:t>
      </w:r>
      <w:r>
        <w:rPr>
          <w:rFonts w:hint="eastAsia" w:ascii="仿宋_GB2312" w:hAnsi="仿宋_GB2312" w:eastAsia="仿宋_GB2312" w:cs="仿宋_GB2312"/>
          <w:i w:val="0"/>
          <w:iCs w:val="0"/>
          <w:caps w:val="0"/>
          <w:color w:val="000000"/>
          <w:spacing w:val="0"/>
          <w:sz w:val="32"/>
          <w:szCs w:val="32"/>
          <w:shd w:val="clear" w:fill="FFFFFF"/>
        </w:rPr>
        <w:t>未收到依申请公开事项。</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Chars="200" w:right="0" w:rightChars="0"/>
        <w:jc w:val="both"/>
        <w:textAlignment w:val="auto"/>
        <w:outlineLvl w:val="9"/>
        <w:rPr>
          <w:rFonts w:hint="eastAsia" w:ascii="楷体" w:hAnsi="楷体" w:eastAsia="楷体" w:cs="楷体"/>
          <w:b/>
          <w:bCs/>
          <w:color w:val="000000" w:themeColor="text1"/>
          <w:kern w:val="2"/>
          <w:sz w:val="32"/>
          <w:szCs w:val="32"/>
          <w:lang w:val="en-US" w:eastAsia="zh-CN" w:bidi="ar-SA"/>
          <w14:textFill>
            <w14:solidFill>
              <w14:schemeClr w14:val="tx1"/>
            </w14:solidFill>
          </w14:textFill>
        </w:rPr>
      </w:pPr>
      <w:r>
        <w:rPr>
          <w:rFonts w:hint="eastAsia" w:ascii="楷体" w:hAnsi="楷体" w:eastAsia="楷体" w:cs="楷体"/>
          <w:b/>
          <w:bCs/>
          <w:color w:val="000000" w:themeColor="text1"/>
          <w:kern w:val="2"/>
          <w:sz w:val="32"/>
          <w:szCs w:val="32"/>
          <w:lang w:val="en-US" w:eastAsia="zh-CN" w:bidi="ar-SA"/>
          <w14:textFill>
            <w14:solidFill>
              <w14:schemeClr w14:val="tx1"/>
            </w14:solidFill>
          </w14:textFill>
        </w:rPr>
        <w:t>（三）政府信息管理</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right="0" w:rightChars="0" w:firstLine="640" w:firstLineChars="200"/>
        <w:jc w:val="both"/>
        <w:textAlignment w:val="auto"/>
        <w:outlineLvl w:val="9"/>
        <w:rPr>
          <w:rFonts w:hint="eastAsia" w:ascii="仿宋_GB2312" w:hAnsi="仿宋_GB2312" w:eastAsia="仿宋_GB2312" w:cs="仿宋_GB2312"/>
          <w:color w:val="000000" w:themeColor="text1"/>
          <w:kern w:val="2"/>
          <w:sz w:val="32"/>
          <w:szCs w:val="32"/>
          <w:highlight w:val="yellow"/>
          <w:lang w:val="en-US" w:eastAsia="zh-CN" w:bidi="ar-SA"/>
          <w14:textFill>
            <w14:solidFill>
              <w14:schemeClr w14:val="tx1"/>
            </w14:solidFill>
          </w14:textFill>
        </w:rPr>
      </w:pPr>
      <w:r>
        <w:rPr>
          <w:rFonts w:hint="eastAsia" w:ascii="仿宋_GB2312" w:hAnsi="仿宋_GB2312" w:eastAsia="仿宋_GB2312" w:cs="仿宋_GB2312"/>
          <w:i w:val="0"/>
          <w:iCs w:val="0"/>
          <w:caps w:val="0"/>
          <w:color w:val="000000"/>
          <w:spacing w:val="0"/>
          <w:sz w:val="32"/>
          <w:szCs w:val="32"/>
          <w:shd w:val="clear" w:fill="FFFFFF"/>
        </w:rPr>
        <w:t>为进一步做好政府信息公开工作，我街道由分管负责人具体指导，办公室牵头具体业务，各</w:t>
      </w:r>
      <w:r>
        <w:rPr>
          <w:rFonts w:hint="eastAsia" w:ascii="仿宋_GB2312" w:hAnsi="仿宋_GB2312" w:eastAsia="仿宋_GB2312" w:cs="仿宋_GB2312"/>
          <w:i w:val="0"/>
          <w:iCs w:val="0"/>
          <w:caps w:val="0"/>
          <w:color w:val="000000"/>
          <w:spacing w:val="0"/>
          <w:sz w:val="32"/>
          <w:szCs w:val="32"/>
          <w:shd w:val="clear" w:fill="FFFFFF"/>
          <w:lang w:eastAsia="zh-CN"/>
        </w:rPr>
        <w:t>部门</w:t>
      </w:r>
      <w:r>
        <w:rPr>
          <w:rFonts w:hint="eastAsia" w:ascii="仿宋_GB2312" w:hAnsi="仿宋_GB2312" w:eastAsia="仿宋_GB2312" w:cs="仿宋_GB2312"/>
          <w:i w:val="0"/>
          <w:iCs w:val="0"/>
          <w:caps w:val="0"/>
          <w:color w:val="000000"/>
          <w:spacing w:val="0"/>
          <w:sz w:val="32"/>
          <w:szCs w:val="32"/>
          <w:shd w:val="clear" w:fill="FFFFFF"/>
        </w:rPr>
        <w:t>密切配合,专人具体负责公开信息的发布、维护和更新。以政府信息主动公开目录为抓手，加强对政府信息的管理，进一步规范了政府信息发布流程，加强信息发布前“先审核后公开”、“谁公开谁审核、谁审核谁负责”的原则</w:t>
      </w:r>
      <w:r>
        <w:rPr>
          <w:rFonts w:hint="eastAsia" w:ascii="仿宋_GB2312" w:hAnsi="仿宋_GB2312" w:eastAsia="仿宋_GB2312" w:cs="仿宋_GB2312"/>
          <w:i w:val="0"/>
          <w:iCs w:val="0"/>
          <w:caps w:val="0"/>
          <w:color w:val="000000"/>
          <w:spacing w:val="0"/>
          <w:sz w:val="32"/>
          <w:szCs w:val="32"/>
          <w:shd w:val="clear" w:fill="FFFFFF"/>
          <w:lang w:eastAsia="zh-CN"/>
        </w:rPr>
        <w:t>，</w:t>
      </w:r>
      <w:r>
        <w:rPr>
          <w:rFonts w:hint="eastAsia" w:ascii="仿宋_GB2312" w:hAnsi="仿宋_GB2312" w:eastAsia="仿宋_GB2312" w:cs="仿宋_GB2312"/>
          <w:i w:val="0"/>
          <w:iCs w:val="0"/>
          <w:caps w:val="0"/>
          <w:color w:val="000000"/>
          <w:spacing w:val="0"/>
          <w:sz w:val="32"/>
          <w:szCs w:val="32"/>
          <w:shd w:val="clear" w:fill="FFFFFF"/>
        </w:rPr>
        <w:t>街</w:t>
      </w:r>
      <w:r>
        <w:rPr>
          <w:rFonts w:hint="eastAsia" w:ascii="仿宋_GB2312" w:hAnsi="仿宋_GB2312" w:eastAsia="仿宋_GB2312" w:cs="仿宋_GB2312"/>
          <w:i w:val="0"/>
          <w:iCs w:val="0"/>
          <w:caps w:val="0"/>
          <w:color w:val="000000"/>
          <w:spacing w:val="0"/>
          <w:sz w:val="32"/>
          <w:szCs w:val="32"/>
          <w:shd w:val="clear" w:fill="FFFFFF"/>
          <w:lang w:eastAsia="zh-CN"/>
        </w:rPr>
        <w:t>道</w:t>
      </w:r>
      <w:r>
        <w:rPr>
          <w:rFonts w:hint="eastAsia" w:ascii="仿宋_GB2312" w:hAnsi="仿宋_GB2312" w:eastAsia="仿宋_GB2312" w:cs="仿宋_GB2312"/>
          <w:i w:val="0"/>
          <w:iCs w:val="0"/>
          <w:caps w:val="0"/>
          <w:color w:val="000000"/>
          <w:spacing w:val="0"/>
          <w:sz w:val="32"/>
          <w:szCs w:val="32"/>
          <w:shd w:val="clear" w:fill="FFFFFF"/>
        </w:rPr>
        <w:t>及村（居）公示栏实时更新政策、财务、村务等信息，做到事前准备清晰明了、事中进展实时掌握、事后结果实时告知。运用“大众语言”解码“政务语言”，尽可能将政策文件、政策解读通俗易懂化，进一步打造了“为民便民利民”政务公开服务。</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right="0" w:rightChars="0" w:firstLine="643" w:firstLineChars="200"/>
        <w:jc w:val="both"/>
        <w:textAlignment w:val="auto"/>
        <w:outlineLvl w:val="9"/>
        <w:rPr>
          <w:rFonts w:hint="eastAsia" w:ascii="楷体" w:hAnsi="楷体" w:eastAsia="楷体" w:cs="楷体"/>
          <w:b/>
          <w:bCs/>
          <w:color w:val="000000" w:themeColor="text1"/>
          <w:sz w:val="32"/>
          <w:szCs w:val="32"/>
          <w:lang w:val="en-US" w:eastAsia="zh-CN"/>
          <w14:textFill>
            <w14:solidFill>
              <w14:schemeClr w14:val="tx1"/>
            </w14:solidFill>
          </w14:textFill>
        </w:rPr>
      </w:pPr>
      <w:r>
        <w:rPr>
          <w:rFonts w:hint="eastAsia" w:ascii="楷体" w:hAnsi="楷体" w:eastAsia="楷体" w:cs="楷体"/>
          <w:b/>
          <w:bCs/>
          <w:color w:val="000000" w:themeColor="text1"/>
          <w:sz w:val="32"/>
          <w:szCs w:val="32"/>
          <w:lang w:val="en-US" w:eastAsia="zh-CN"/>
          <w14:textFill>
            <w14:solidFill>
              <w14:schemeClr w14:val="tx1"/>
            </w14:solidFill>
          </w14:textFill>
        </w:rPr>
        <w:t>（四）政府信息公开平台建设</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right="0" w:rightChars="0" w:firstLine="640" w:firstLineChars="200"/>
        <w:jc w:val="both"/>
        <w:textAlignment w:val="auto"/>
        <w:outlineLvl w:val="9"/>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i w:val="0"/>
          <w:iCs w:val="0"/>
          <w:caps w:val="0"/>
          <w:color w:val="000000"/>
          <w:spacing w:val="0"/>
          <w:sz w:val="32"/>
          <w:szCs w:val="32"/>
          <w:shd w:val="clear" w:fill="FFFFFF"/>
        </w:rPr>
        <w:t>严把公开内容关，既防止该公开的不公开，搞半公开、假公开，又防止不该公开的乱公开。认真自查整改，开展涉及个人隐私政府信息排查，网站栏目自检自查，存在问题的整改落实，采取多种形式，强化监督检查工作，实行定期检查与不定期检查相结合。借助各村（社区）广播站、政府信息公开栏、微信等多种公开渠道，及时、全面、准确地主动公开各类政府信息，提高政策的传播率和知晓率。同时，鼓励干部</w:t>
      </w:r>
      <w:r>
        <w:rPr>
          <w:rFonts w:hint="eastAsia" w:ascii="仿宋_GB2312" w:hAnsi="仿宋_GB2312" w:eastAsia="仿宋_GB2312" w:cs="仿宋_GB2312"/>
          <w:i w:val="0"/>
          <w:iCs w:val="0"/>
          <w:caps w:val="0"/>
          <w:color w:val="000000"/>
          <w:spacing w:val="0"/>
          <w:sz w:val="32"/>
          <w:szCs w:val="32"/>
          <w:shd w:val="clear" w:fill="FFFFFF"/>
          <w:lang w:eastAsia="zh-CN"/>
        </w:rPr>
        <w:t>职工</w:t>
      </w:r>
      <w:r>
        <w:rPr>
          <w:rFonts w:hint="eastAsia" w:ascii="仿宋_GB2312" w:hAnsi="仿宋_GB2312" w:eastAsia="仿宋_GB2312" w:cs="仿宋_GB2312"/>
          <w:i w:val="0"/>
          <w:iCs w:val="0"/>
          <w:caps w:val="0"/>
          <w:color w:val="000000"/>
          <w:spacing w:val="0"/>
          <w:sz w:val="32"/>
          <w:szCs w:val="32"/>
          <w:shd w:val="clear" w:fill="FFFFFF"/>
        </w:rPr>
        <w:t>、群众积极参与监督，积极反映公开过程中存在的突出问题，使公开工作更加扎实、有序开展。</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firstLine="643" w:firstLineChars="200"/>
        <w:jc w:val="both"/>
        <w:textAlignment w:val="auto"/>
        <w:outlineLvl w:val="9"/>
        <w:rPr>
          <w:rFonts w:hint="eastAsia" w:ascii="楷体" w:hAnsi="楷体" w:eastAsia="楷体" w:cs="楷体"/>
          <w:b/>
          <w:bCs/>
          <w:color w:val="000000" w:themeColor="text1"/>
          <w:sz w:val="32"/>
          <w:szCs w:val="32"/>
          <w:lang w:val="en-US" w:eastAsia="zh-CN"/>
          <w14:textFill>
            <w14:solidFill>
              <w14:schemeClr w14:val="tx1"/>
            </w14:solidFill>
          </w14:textFill>
        </w:rPr>
      </w:pPr>
      <w:r>
        <w:rPr>
          <w:rFonts w:hint="eastAsia" w:ascii="楷体" w:hAnsi="楷体" w:eastAsia="楷体" w:cs="楷体"/>
          <w:b/>
          <w:bCs/>
          <w:color w:val="000000" w:themeColor="text1"/>
          <w:sz w:val="32"/>
          <w:szCs w:val="32"/>
          <w:lang w:val="en-US" w:eastAsia="zh-CN"/>
          <w14:textFill>
            <w14:solidFill>
              <w14:schemeClr w14:val="tx1"/>
            </w14:solidFill>
          </w14:textFill>
        </w:rPr>
        <w:t>（五）监督保障</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right="0" w:rightChars="0" w:firstLine="640" w:firstLineChars="200"/>
        <w:jc w:val="both"/>
        <w:textAlignment w:val="auto"/>
        <w:outlineLvl w:val="9"/>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i w:val="0"/>
          <w:iCs w:val="0"/>
          <w:caps w:val="0"/>
          <w:color w:val="000000"/>
          <w:spacing w:val="0"/>
          <w:sz w:val="32"/>
          <w:szCs w:val="32"/>
          <w:shd w:val="clear" w:fill="FFFFFF"/>
          <w:lang w:eastAsia="zh-CN"/>
        </w:rPr>
        <w:t>我街道主要领导高度重视政府信息公开工作，</w:t>
      </w:r>
      <w:r>
        <w:rPr>
          <w:rFonts w:ascii="仿宋_GB2312" w:hAnsi="宋体" w:eastAsia="仿宋_GB2312" w:cs="仿宋_GB2312"/>
          <w:i w:val="0"/>
          <w:iCs w:val="0"/>
          <w:caps w:val="0"/>
          <w:color w:val="000000"/>
          <w:spacing w:val="0"/>
          <w:sz w:val="32"/>
          <w:szCs w:val="32"/>
          <w:shd w:val="clear" w:fill="FFFFFF"/>
        </w:rPr>
        <w:t>把政府信息公开工作纳入重要议事日程，</w:t>
      </w:r>
      <w:r>
        <w:rPr>
          <w:rFonts w:hint="eastAsia" w:ascii="仿宋_GB2312" w:hAnsi="宋体" w:eastAsia="仿宋_GB2312" w:cs="仿宋_GB2312"/>
          <w:i w:val="0"/>
          <w:iCs w:val="0"/>
          <w:caps w:val="0"/>
          <w:color w:val="000000"/>
          <w:spacing w:val="0"/>
          <w:sz w:val="32"/>
          <w:szCs w:val="32"/>
          <w:shd w:val="clear" w:fill="FFFFFF"/>
          <w:lang w:eastAsia="zh-CN"/>
        </w:rPr>
        <w:t>分管领导定期组织机关干部业务培训，</w:t>
      </w:r>
      <w:r>
        <w:rPr>
          <w:rFonts w:ascii="仿宋_GB2312" w:hAnsi="宋体" w:eastAsia="仿宋_GB2312" w:cs="仿宋_GB2312"/>
          <w:i w:val="0"/>
          <w:iCs w:val="0"/>
          <w:caps w:val="0"/>
          <w:color w:val="000000"/>
          <w:spacing w:val="0"/>
          <w:sz w:val="32"/>
          <w:szCs w:val="32"/>
          <w:shd w:val="clear" w:fill="FFFFFF"/>
        </w:rPr>
        <w:t>使政府信息公开工作与日常工作融为一体，整体同步推进。</w:t>
      </w:r>
      <w:r>
        <w:rPr>
          <w:rFonts w:hint="eastAsia" w:ascii="仿宋_GB2312" w:hAnsi="仿宋_GB2312" w:eastAsia="仿宋_GB2312" w:cs="仿宋_GB2312"/>
          <w:i w:val="0"/>
          <w:iCs w:val="0"/>
          <w:caps w:val="0"/>
          <w:color w:val="000000"/>
          <w:spacing w:val="0"/>
          <w:sz w:val="32"/>
          <w:szCs w:val="32"/>
          <w:shd w:val="clear" w:fill="FFFFFF"/>
        </w:rPr>
        <w:t>坚持把政府门户网站作为统一集中公开政府信息的第一平台，及时对</w:t>
      </w:r>
      <w:r>
        <w:rPr>
          <w:rFonts w:hint="eastAsia" w:ascii="仿宋_GB2312" w:hAnsi="仿宋_GB2312" w:eastAsia="仿宋_GB2312" w:cs="仿宋_GB2312"/>
          <w:i w:val="0"/>
          <w:iCs w:val="0"/>
          <w:caps w:val="0"/>
          <w:color w:val="000000"/>
          <w:spacing w:val="0"/>
          <w:sz w:val="32"/>
          <w:szCs w:val="32"/>
          <w:shd w:val="clear" w:fill="FFFFFF"/>
          <w:lang w:eastAsia="zh-CN"/>
        </w:rPr>
        <w:t>上</w:t>
      </w:r>
      <w:r>
        <w:rPr>
          <w:rFonts w:hint="eastAsia" w:ascii="仿宋_GB2312" w:hAnsi="仿宋_GB2312" w:eastAsia="仿宋_GB2312" w:cs="仿宋_GB2312"/>
          <w:i w:val="0"/>
          <w:iCs w:val="0"/>
          <w:caps w:val="0"/>
          <w:color w:val="000000"/>
          <w:spacing w:val="0"/>
          <w:sz w:val="32"/>
          <w:szCs w:val="32"/>
          <w:shd w:val="clear" w:fill="FFFFFF"/>
        </w:rPr>
        <w:t>级反馈问题和监测出的错误信息进行处置，全年无泄密事件发生</w:t>
      </w:r>
      <w:r>
        <w:rPr>
          <w:rFonts w:hint="eastAsia" w:ascii="仿宋_GB2312" w:hAnsi="仿宋_GB2312" w:eastAsia="仿宋_GB2312" w:cs="仿宋_GB2312"/>
          <w:i w:val="0"/>
          <w:iCs w:val="0"/>
          <w:caps w:val="0"/>
          <w:color w:val="000000"/>
          <w:spacing w:val="0"/>
          <w:sz w:val="32"/>
          <w:szCs w:val="32"/>
          <w:shd w:val="clear" w:fill="FFFFFF"/>
          <w:lang w:eastAsia="zh-CN"/>
        </w:rPr>
        <w:t>，</w:t>
      </w:r>
      <w:r>
        <w:rPr>
          <w:rFonts w:hint="eastAsia" w:ascii="仿宋_GB2312" w:hAnsi="仿宋_GB2312" w:eastAsia="仿宋_GB2312" w:cs="仿宋_GB2312"/>
          <w:i w:val="0"/>
          <w:iCs w:val="0"/>
          <w:caps w:val="0"/>
          <w:color w:val="000000"/>
          <w:spacing w:val="0"/>
          <w:sz w:val="32"/>
          <w:szCs w:val="32"/>
          <w:shd w:val="clear" w:fill="FFFFFF"/>
        </w:rPr>
        <w:t>定期开展政务公开情况回头看，促进信息公开工作常态化、规范化。</w:t>
      </w:r>
      <w:r>
        <w:rPr>
          <w:rFonts w:hint="eastAsia" w:ascii="仿宋_GB2312" w:hAnsi="仿宋_GB2312" w:eastAsia="仿宋_GB2312" w:cs="仿宋_GB2312"/>
          <w:i w:val="0"/>
          <w:iCs w:val="0"/>
          <w:caps w:val="0"/>
          <w:color w:val="000000"/>
          <w:spacing w:val="0"/>
          <w:sz w:val="32"/>
          <w:szCs w:val="32"/>
          <w:shd w:val="clear" w:fill="FFFFFF"/>
          <w:lang w:eastAsia="zh-CN"/>
        </w:rPr>
        <w:t>并</w:t>
      </w:r>
      <w:r>
        <w:rPr>
          <w:rFonts w:hint="eastAsia" w:ascii="仿宋_GB2312" w:hAnsi="仿宋_GB2312" w:eastAsia="仿宋_GB2312" w:cs="仿宋_GB2312"/>
          <w:i w:val="0"/>
          <w:iCs w:val="0"/>
          <w:caps w:val="0"/>
          <w:color w:val="000000"/>
          <w:spacing w:val="0"/>
          <w:sz w:val="32"/>
          <w:szCs w:val="32"/>
          <w:shd w:val="clear" w:fill="FFFFFF"/>
        </w:rPr>
        <w:t>向群众提供政策法规、新闻动态、通知公告、预警信息、安全生产等各类信息。通过举报电话、监督信箱等形式，及时反馈群众呼声、解决存在问题。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640" w:firstLineChars="200"/>
        <w:jc w:val="both"/>
        <w:textAlignment w:val="auto"/>
        <w:outlineLvl w:val="9"/>
        <w:rPr>
          <w:rFonts w:hint="eastAsia" w:ascii="黑体" w:hAnsi="黑体" w:eastAsia="黑体" w:cs="黑体"/>
          <w:b w:val="0"/>
          <w:bCs w:val="0"/>
          <w:i w:val="0"/>
          <w:caps w:val="0"/>
          <w:color w:val="333333"/>
          <w:spacing w:val="0"/>
          <w:sz w:val="32"/>
          <w:szCs w:val="32"/>
          <w:u w:val="none"/>
        </w:rPr>
      </w:pPr>
      <w:r>
        <w:rPr>
          <w:rFonts w:hint="eastAsia" w:ascii="黑体" w:hAnsi="黑体" w:eastAsia="黑体" w:cs="黑体"/>
          <w:b w:val="0"/>
          <w:bCs w:val="0"/>
          <w:i w:val="0"/>
          <w:caps w:val="0"/>
          <w:color w:val="333333"/>
          <w:spacing w:val="0"/>
          <w:sz w:val="32"/>
          <w:szCs w:val="32"/>
          <w:u w:val="none"/>
          <w:shd w:val="clear" w:fill="FFFFFF"/>
        </w:rPr>
        <w:t>二、</w:t>
      </w:r>
      <w:r>
        <w:rPr>
          <w:rFonts w:hint="eastAsia" w:ascii="黑体" w:hAnsi="黑体" w:eastAsia="黑体" w:cs="黑体"/>
          <w:b w:val="0"/>
          <w:bCs w:val="0"/>
          <w:i w:val="0"/>
          <w:caps w:val="0"/>
          <w:color w:val="333333"/>
          <w:spacing w:val="0"/>
          <w:sz w:val="32"/>
          <w:szCs w:val="32"/>
          <w:u w:val="none"/>
          <w:shd w:val="clear" w:fill="FFFFFF"/>
          <w:lang w:eastAsia="zh-CN"/>
        </w:rPr>
        <w:t>行政机关</w:t>
      </w:r>
      <w:r>
        <w:rPr>
          <w:rFonts w:hint="eastAsia" w:ascii="黑体" w:hAnsi="黑体" w:eastAsia="黑体" w:cs="黑体"/>
          <w:b w:val="0"/>
          <w:bCs w:val="0"/>
          <w:i w:val="0"/>
          <w:caps w:val="0"/>
          <w:color w:val="333333"/>
          <w:spacing w:val="0"/>
          <w:sz w:val="32"/>
          <w:szCs w:val="32"/>
          <w:u w:val="none"/>
          <w:shd w:val="clear" w:fill="FFFFFF"/>
        </w:rPr>
        <w:t>主动公开政府信息情况</w:t>
      </w:r>
    </w:p>
    <w:tbl>
      <w:tblPr>
        <w:tblStyle w:val="3"/>
        <w:tblW w:w="9020" w:type="dxa"/>
        <w:jc w:val="center"/>
        <w:shd w:val="clear" w:color="auto" w:fill="auto"/>
        <w:tblLayout w:type="fixed"/>
        <w:tblCellMar>
          <w:top w:w="0" w:type="dxa"/>
          <w:left w:w="0" w:type="dxa"/>
          <w:bottom w:w="0" w:type="dxa"/>
          <w:right w:w="0" w:type="dxa"/>
        </w:tblCellMar>
      </w:tblPr>
      <w:tblGrid>
        <w:gridCol w:w="1730"/>
        <w:gridCol w:w="2430"/>
        <w:gridCol w:w="2430"/>
        <w:gridCol w:w="2430"/>
      </w:tblGrid>
      <w:tr>
        <w:tblPrEx>
          <w:shd w:val="clear" w:color="auto" w:fill="auto"/>
          <w:tblCellMar>
            <w:top w:w="0" w:type="dxa"/>
            <w:left w:w="0" w:type="dxa"/>
            <w:bottom w:w="0" w:type="dxa"/>
            <w:right w:w="0" w:type="dxa"/>
          </w:tblCellMar>
        </w:tblPrEx>
        <w:trPr>
          <w:trHeight w:val="623" w:hRule="atLeast"/>
          <w:jc w:val="center"/>
        </w:trPr>
        <w:tc>
          <w:tcPr>
            <w:tcW w:w="9020" w:type="dxa"/>
            <w:gridSpan w:val="4"/>
            <w:tcBorders>
              <w:top w:val="single" w:color="auto" w:sz="8" w:space="0"/>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第二十条第（一）项</w:t>
            </w:r>
          </w:p>
        </w:tc>
      </w:tr>
      <w:tr>
        <w:tblPrEx>
          <w:shd w:val="clear" w:color="auto" w:fill="auto"/>
          <w:tblCellMar>
            <w:top w:w="0" w:type="dxa"/>
            <w:left w:w="0" w:type="dxa"/>
            <w:bottom w:w="0" w:type="dxa"/>
            <w:right w:w="0" w:type="dxa"/>
          </w:tblCellMar>
        </w:tblPrEx>
        <w:trPr>
          <w:trHeight w:val="623" w:hRule="atLeast"/>
          <w:jc w:val="center"/>
        </w:trPr>
        <w:tc>
          <w:tcPr>
            <w:tcW w:w="1730"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2430"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w:t>
            </w:r>
            <w:r>
              <w:rPr>
                <w:rFonts w:hint="eastAsia" w:ascii="宋体" w:hAnsi="宋体" w:eastAsia="宋体" w:cs="宋体"/>
                <w:kern w:val="0"/>
                <w:sz w:val="20"/>
                <w:szCs w:val="20"/>
                <w:lang w:val="en-US" w:eastAsia="zh-CN" w:bidi="ar"/>
              </w:rPr>
              <w:t>制发件数</w:t>
            </w:r>
          </w:p>
        </w:tc>
        <w:tc>
          <w:tcPr>
            <w:tcW w:w="2430"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本年废止件数</w:t>
            </w:r>
          </w:p>
        </w:tc>
        <w:tc>
          <w:tcPr>
            <w:tcW w:w="2430"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现行有效件</w:t>
            </w:r>
            <w:r>
              <w:rPr>
                <w:rFonts w:hint="eastAsia" w:ascii="宋体" w:hAnsi="宋体" w:eastAsia="宋体" w:cs="宋体"/>
                <w:kern w:val="0"/>
                <w:sz w:val="20"/>
                <w:szCs w:val="20"/>
                <w:lang w:val="en-US" w:eastAsia="zh-CN" w:bidi="ar"/>
              </w:rPr>
              <w:t>数</w:t>
            </w:r>
          </w:p>
        </w:tc>
      </w:tr>
      <w:tr>
        <w:tblPrEx>
          <w:shd w:val="clear" w:color="auto" w:fill="auto"/>
          <w:tblCellMar>
            <w:top w:w="0" w:type="dxa"/>
            <w:left w:w="0" w:type="dxa"/>
            <w:bottom w:w="0" w:type="dxa"/>
            <w:right w:w="0" w:type="dxa"/>
          </w:tblCellMar>
        </w:tblPrEx>
        <w:trPr>
          <w:trHeight w:val="623" w:hRule="atLeast"/>
          <w:jc w:val="center"/>
        </w:trPr>
        <w:tc>
          <w:tcPr>
            <w:tcW w:w="1730"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规章</w:t>
            </w:r>
          </w:p>
        </w:tc>
        <w:tc>
          <w:tcPr>
            <w:tcW w:w="243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center"/>
              <w:textAlignment w:val="auto"/>
              <w:outlineLvl w:val="9"/>
              <w:rPr>
                <w:rFonts w:hint="eastAsia" w:eastAsia="仿宋"/>
                <w:sz w:val="18"/>
                <w:szCs w:val="18"/>
                <w:lang w:val="en-US" w:eastAsia="zh-CN"/>
              </w:rPr>
            </w:pPr>
            <w:r>
              <w:rPr>
                <w:rFonts w:hint="eastAsia"/>
                <w:sz w:val="18"/>
                <w:szCs w:val="18"/>
                <w:lang w:val="en-US" w:eastAsia="zh-CN"/>
              </w:rPr>
              <w:t>0</w:t>
            </w:r>
          </w:p>
        </w:tc>
        <w:tc>
          <w:tcPr>
            <w:tcW w:w="243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center"/>
              <w:textAlignment w:val="auto"/>
              <w:outlineLvl w:val="9"/>
              <w:rPr>
                <w:rFonts w:hint="eastAsia" w:eastAsia="仿宋"/>
                <w:sz w:val="18"/>
                <w:szCs w:val="18"/>
                <w:lang w:val="en-US" w:eastAsia="zh-CN"/>
              </w:rPr>
            </w:pPr>
            <w:r>
              <w:rPr>
                <w:rFonts w:hint="eastAsia"/>
                <w:sz w:val="18"/>
                <w:szCs w:val="18"/>
                <w:lang w:val="en-US" w:eastAsia="zh-CN"/>
              </w:rPr>
              <w:t>0</w:t>
            </w:r>
          </w:p>
        </w:tc>
        <w:tc>
          <w:tcPr>
            <w:tcW w:w="243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center"/>
              <w:textAlignment w:val="auto"/>
              <w:outlineLvl w:val="9"/>
              <w:rPr>
                <w:rFonts w:hint="eastAsia" w:eastAsia="仿宋"/>
                <w:sz w:val="18"/>
                <w:szCs w:val="18"/>
                <w:lang w:val="en-US" w:eastAsia="zh-CN"/>
              </w:rPr>
            </w:pPr>
            <w:r>
              <w:rPr>
                <w:rFonts w:hint="eastAsia"/>
                <w:sz w:val="18"/>
                <w:szCs w:val="18"/>
                <w:lang w:val="en-US" w:eastAsia="zh-CN"/>
              </w:rPr>
              <w:t>0</w:t>
            </w:r>
          </w:p>
        </w:tc>
      </w:tr>
      <w:tr>
        <w:tblPrEx>
          <w:shd w:val="clear" w:color="auto" w:fill="auto"/>
          <w:tblCellMar>
            <w:top w:w="0" w:type="dxa"/>
            <w:left w:w="0" w:type="dxa"/>
            <w:bottom w:w="0" w:type="dxa"/>
            <w:right w:w="0" w:type="dxa"/>
          </w:tblCellMar>
        </w:tblPrEx>
        <w:trPr>
          <w:trHeight w:val="623" w:hRule="atLeast"/>
          <w:jc w:val="center"/>
        </w:trPr>
        <w:tc>
          <w:tcPr>
            <w:tcW w:w="1730"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行政规范性文件</w:t>
            </w:r>
          </w:p>
        </w:tc>
        <w:tc>
          <w:tcPr>
            <w:tcW w:w="243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center"/>
              <w:textAlignment w:val="auto"/>
              <w:outlineLvl w:val="9"/>
              <w:rPr>
                <w:rFonts w:hint="eastAsia" w:eastAsia="仿宋"/>
                <w:sz w:val="18"/>
                <w:szCs w:val="18"/>
                <w:lang w:val="en-US" w:eastAsia="zh-CN"/>
              </w:rPr>
            </w:pPr>
            <w:r>
              <w:rPr>
                <w:rFonts w:hint="eastAsia"/>
                <w:sz w:val="18"/>
                <w:szCs w:val="18"/>
                <w:lang w:val="en-US" w:eastAsia="zh-CN"/>
              </w:rPr>
              <w:t>0</w:t>
            </w:r>
          </w:p>
        </w:tc>
        <w:tc>
          <w:tcPr>
            <w:tcW w:w="243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center"/>
              <w:textAlignment w:val="auto"/>
              <w:outlineLvl w:val="9"/>
              <w:rPr>
                <w:rFonts w:hint="eastAsia" w:eastAsia="仿宋"/>
                <w:sz w:val="18"/>
                <w:szCs w:val="18"/>
                <w:lang w:val="en-US" w:eastAsia="zh-CN"/>
              </w:rPr>
            </w:pPr>
            <w:r>
              <w:rPr>
                <w:rFonts w:hint="eastAsia"/>
                <w:sz w:val="18"/>
                <w:szCs w:val="18"/>
                <w:lang w:val="en-US" w:eastAsia="zh-CN"/>
              </w:rPr>
              <w:t>0</w:t>
            </w:r>
          </w:p>
        </w:tc>
        <w:tc>
          <w:tcPr>
            <w:tcW w:w="243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center"/>
              <w:textAlignment w:val="auto"/>
              <w:outlineLvl w:val="9"/>
              <w:rPr>
                <w:rFonts w:hint="eastAsia" w:eastAsia="仿宋"/>
                <w:sz w:val="18"/>
                <w:szCs w:val="18"/>
                <w:lang w:val="en-US" w:eastAsia="zh-CN"/>
              </w:rPr>
            </w:pPr>
            <w:r>
              <w:rPr>
                <w:rFonts w:hint="eastAsia"/>
                <w:sz w:val="18"/>
                <w:szCs w:val="18"/>
                <w:lang w:val="en-US" w:eastAsia="zh-CN"/>
              </w:rPr>
              <w:t>0</w:t>
            </w:r>
          </w:p>
        </w:tc>
      </w:tr>
      <w:tr>
        <w:tblPrEx>
          <w:shd w:val="clear" w:color="auto" w:fill="auto"/>
          <w:tblCellMar>
            <w:top w:w="0" w:type="dxa"/>
            <w:left w:w="0" w:type="dxa"/>
            <w:bottom w:w="0" w:type="dxa"/>
            <w:right w:w="0" w:type="dxa"/>
          </w:tblCellMar>
        </w:tblPrEx>
        <w:trPr>
          <w:trHeight w:val="623" w:hRule="atLeast"/>
          <w:jc w:val="center"/>
        </w:trPr>
        <w:tc>
          <w:tcPr>
            <w:tcW w:w="902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8"/>
                <w:szCs w:val="18"/>
              </w:rPr>
            </w:pPr>
            <w:r>
              <w:rPr>
                <w:rFonts w:hint="eastAsia" w:ascii="宋体" w:hAnsi="宋体" w:eastAsia="宋体" w:cs="宋体"/>
                <w:color w:val="000000"/>
                <w:kern w:val="0"/>
                <w:sz w:val="18"/>
                <w:szCs w:val="18"/>
                <w:lang w:val="en-US" w:eastAsia="zh-CN" w:bidi="ar"/>
              </w:rPr>
              <w:t>第二十条第（五）项</w:t>
            </w:r>
          </w:p>
        </w:tc>
      </w:tr>
      <w:tr>
        <w:tblPrEx>
          <w:shd w:val="clear" w:color="auto" w:fill="auto"/>
          <w:tblCellMar>
            <w:top w:w="0" w:type="dxa"/>
            <w:left w:w="0" w:type="dxa"/>
            <w:bottom w:w="0" w:type="dxa"/>
            <w:right w:w="0" w:type="dxa"/>
          </w:tblCellMar>
        </w:tblPrEx>
        <w:trPr>
          <w:trHeight w:val="623" w:hRule="atLeast"/>
          <w:jc w:val="center"/>
        </w:trPr>
        <w:tc>
          <w:tcPr>
            <w:tcW w:w="1730"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7290"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8"/>
                <w:szCs w:val="18"/>
              </w:rPr>
            </w:pPr>
            <w:r>
              <w:rPr>
                <w:rFonts w:hint="eastAsia" w:ascii="宋体" w:hAnsi="宋体" w:eastAsia="宋体" w:cs="宋体"/>
                <w:color w:val="000000"/>
                <w:kern w:val="0"/>
                <w:sz w:val="18"/>
                <w:szCs w:val="18"/>
                <w:lang w:val="en-US" w:eastAsia="zh-CN" w:bidi="ar"/>
              </w:rPr>
              <w:t>本年处理决定数量</w:t>
            </w:r>
          </w:p>
        </w:tc>
      </w:tr>
      <w:tr>
        <w:tblPrEx>
          <w:shd w:val="clear" w:color="auto" w:fill="auto"/>
          <w:tblCellMar>
            <w:top w:w="0" w:type="dxa"/>
            <w:left w:w="0" w:type="dxa"/>
            <w:bottom w:w="0" w:type="dxa"/>
            <w:right w:w="0" w:type="dxa"/>
          </w:tblCellMar>
        </w:tblPrEx>
        <w:trPr>
          <w:trHeight w:val="623" w:hRule="atLeast"/>
          <w:jc w:val="center"/>
        </w:trPr>
        <w:tc>
          <w:tcPr>
            <w:tcW w:w="1730"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行政许可</w:t>
            </w:r>
          </w:p>
        </w:tc>
        <w:tc>
          <w:tcPr>
            <w:tcW w:w="7290"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center"/>
              <w:textAlignment w:val="auto"/>
              <w:outlineLvl w:val="9"/>
              <w:rPr>
                <w:sz w:val="18"/>
                <w:szCs w:val="18"/>
              </w:rPr>
            </w:pPr>
            <w:r>
              <w:rPr>
                <w:rFonts w:hint="eastAsia" w:ascii="Calibri" w:hAnsi="Calibri" w:cs="Calibri"/>
                <w:kern w:val="0"/>
                <w:sz w:val="18"/>
                <w:szCs w:val="18"/>
                <w:lang w:val="en-US" w:eastAsia="zh-CN" w:bidi="ar"/>
              </w:rPr>
              <w:t>0</w:t>
            </w:r>
          </w:p>
        </w:tc>
      </w:tr>
      <w:tr>
        <w:tblPrEx>
          <w:shd w:val="clear" w:color="auto" w:fill="auto"/>
          <w:tblCellMar>
            <w:top w:w="0" w:type="dxa"/>
            <w:left w:w="0" w:type="dxa"/>
            <w:bottom w:w="0" w:type="dxa"/>
            <w:right w:w="0" w:type="dxa"/>
          </w:tblCellMar>
        </w:tblPrEx>
        <w:trPr>
          <w:trHeight w:val="623" w:hRule="atLeast"/>
          <w:jc w:val="center"/>
        </w:trPr>
        <w:tc>
          <w:tcPr>
            <w:tcW w:w="902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8"/>
                <w:szCs w:val="18"/>
              </w:rPr>
            </w:pPr>
            <w:r>
              <w:rPr>
                <w:rFonts w:hint="eastAsia" w:ascii="宋体" w:hAnsi="宋体" w:eastAsia="宋体" w:cs="宋体"/>
                <w:color w:val="000000"/>
                <w:kern w:val="0"/>
                <w:sz w:val="18"/>
                <w:szCs w:val="18"/>
                <w:lang w:val="en-US" w:eastAsia="zh-CN" w:bidi="ar"/>
              </w:rPr>
              <w:t>第二十条第（六）项</w:t>
            </w:r>
          </w:p>
        </w:tc>
      </w:tr>
      <w:tr>
        <w:tblPrEx>
          <w:shd w:val="clear" w:color="auto" w:fill="auto"/>
          <w:tblCellMar>
            <w:top w:w="0" w:type="dxa"/>
            <w:left w:w="0" w:type="dxa"/>
            <w:bottom w:w="0" w:type="dxa"/>
            <w:right w:w="0" w:type="dxa"/>
          </w:tblCellMar>
        </w:tblPrEx>
        <w:trPr>
          <w:trHeight w:val="623" w:hRule="atLeast"/>
          <w:jc w:val="center"/>
        </w:trPr>
        <w:tc>
          <w:tcPr>
            <w:tcW w:w="1730"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信息内容</w:t>
            </w:r>
          </w:p>
        </w:tc>
        <w:tc>
          <w:tcPr>
            <w:tcW w:w="7290" w:type="dxa"/>
            <w:gridSpan w:val="3"/>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sz w:val="18"/>
                <w:szCs w:val="18"/>
              </w:rPr>
            </w:pPr>
            <w:r>
              <w:rPr>
                <w:rFonts w:hint="eastAsia" w:ascii="宋体" w:hAnsi="宋体" w:eastAsia="宋体" w:cs="宋体"/>
                <w:color w:val="000000"/>
                <w:kern w:val="0"/>
                <w:sz w:val="18"/>
                <w:szCs w:val="18"/>
                <w:lang w:val="en-US" w:eastAsia="zh-CN" w:bidi="ar"/>
              </w:rPr>
              <w:t>本年处理决定数量</w:t>
            </w:r>
          </w:p>
        </w:tc>
      </w:tr>
      <w:tr>
        <w:tblPrEx>
          <w:shd w:val="clear" w:color="auto" w:fill="auto"/>
          <w:tblCellMar>
            <w:top w:w="0" w:type="dxa"/>
            <w:left w:w="0" w:type="dxa"/>
            <w:bottom w:w="0" w:type="dxa"/>
            <w:right w:w="0" w:type="dxa"/>
          </w:tblCellMar>
        </w:tblPrEx>
        <w:trPr>
          <w:trHeight w:val="623" w:hRule="atLeast"/>
          <w:jc w:val="center"/>
        </w:trPr>
        <w:tc>
          <w:tcPr>
            <w:tcW w:w="1730"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行政处罚</w:t>
            </w:r>
          </w:p>
        </w:tc>
        <w:tc>
          <w:tcPr>
            <w:tcW w:w="7290"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center"/>
              <w:textAlignment w:val="auto"/>
              <w:outlineLvl w:val="9"/>
              <w:rPr>
                <w:sz w:val="18"/>
                <w:szCs w:val="18"/>
              </w:rPr>
            </w:pPr>
            <w:r>
              <w:rPr>
                <w:rFonts w:hint="eastAsia"/>
                <w:sz w:val="18"/>
                <w:szCs w:val="18"/>
                <w:lang w:val="en-US" w:eastAsia="zh-CN"/>
              </w:rPr>
              <w:t>0</w:t>
            </w:r>
          </w:p>
        </w:tc>
      </w:tr>
      <w:tr>
        <w:tblPrEx>
          <w:shd w:val="clear" w:color="auto" w:fill="auto"/>
          <w:tblCellMar>
            <w:top w:w="0" w:type="dxa"/>
            <w:left w:w="0" w:type="dxa"/>
            <w:bottom w:w="0" w:type="dxa"/>
            <w:right w:w="0" w:type="dxa"/>
          </w:tblCellMar>
        </w:tblPrEx>
        <w:trPr>
          <w:trHeight w:val="623" w:hRule="atLeast"/>
          <w:jc w:val="center"/>
        </w:trPr>
        <w:tc>
          <w:tcPr>
            <w:tcW w:w="1730"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行政强制</w:t>
            </w:r>
          </w:p>
        </w:tc>
        <w:tc>
          <w:tcPr>
            <w:tcW w:w="7290"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center"/>
              <w:textAlignment w:val="auto"/>
              <w:outlineLvl w:val="9"/>
              <w:rPr>
                <w:sz w:val="18"/>
                <w:szCs w:val="18"/>
              </w:rPr>
            </w:pPr>
            <w:r>
              <w:rPr>
                <w:rFonts w:hint="eastAsia"/>
                <w:sz w:val="18"/>
                <w:szCs w:val="18"/>
                <w:lang w:val="en-US" w:eastAsia="zh-CN"/>
              </w:rPr>
              <w:t>0</w:t>
            </w:r>
          </w:p>
        </w:tc>
      </w:tr>
      <w:tr>
        <w:tblPrEx>
          <w:shd w:val="clear" w:color="auto" w:fill="auto"/>
          <w:tblCellMar>
            <w:top w:w="0" w:type="dxa"/>
            <w:left w:w="0" w:type="dxa"/>
            <w:bottom w:w="0" w:type="dxa"/>
            <w:right w:w="0" w:type="dxa"/>
          </w:tblCellMar>
        </w:tblPrEx>
        <w:trPr>
          <w:trHeight w:val="623" w:hRule="atLeast"/>
          <w:jc w:val="center"/>
        </w:trPr>
        <w:tc>
          <w:tcPr>
            <w:tcW w:w="902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8"/>
                <w:szCs w:val="18"/>
              </w:rPr>
            </w:pPr>
            <w:r>
              <w:rPr>
                <w:rFonts w:hint="eastAsia" w:ascii="宋体" w:hAnsi="宋体" w:eastAsia="宋体" w:cs="宋体"/>
                <w:color w:val="000000"/>
                <w:kern w:val="0"/>
                <w:sz w:val="18"/>
                <w:szCs w:val="18"/>
                <w:lang w:val="en-US" w:eastAsia="zh-CN" w:bidi="ar"/>
              </w:rPr>
              <w:t>第二十条第（八）项</w:t>
            </w:r>
          </w:p>
        </w:tc>
      </w:tr>
      <w:tr>
        <w:tblPrEx>
          <w:shd w:val="clear" w:color="auto" w:fill="auto"/>
          <w:tblCellMar>
            <w:top w:w="0" w:type="dxa"/>
            <w:left w:w="0" w:type="dxa"/>
            <w:bottom w:w="0" w:type="dxa"/>
            <w:right w:w="0" w:type="dxa"/>
          </w:tblCellMar>
        </w:tblPrEx>
        <w:trPr>
          <w:trHeight w:val="623" w:hRule="atLeast"/>
          <w:jc w:val="center"/>
        </w:trPr>
        <w:tc>
          <w:tcPr>
            <w:tcW w:w="1730"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7290"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8"/>
                <w:szCs w:val="18"/>
              </w:rPr>
            </w:pPr>
            <w:r>
              <w:rPr>
                <w:rFonts w:hint="eastAsia" w:ascii="宋体" w:hAnsi="宋体" w:eastAsia="宋体" w:cs="宋体"/>
                <w:color w:val="000000"/>
                <w:kern w:val="0"/>
                <w:sz w:val="18"/>
                <w:szCs w:val="18"/>
                <w:lang w:val="en-US" w:eastAsia="zh-CN" w:bidi="ar"/>
              </w:rPr>
              <w:t>本年收费金额（单位：万元）</w:t>
            </w:r>
          </w:p>
        </w:tc>
      </w:tr>
      <w:tr>
        <w:tblPrEx>
          <w:shd w:val="clear" w:color="auto" w:fill="auto"/>
          <w:tblCellMar>
            <w:top w:w="0" w:type="dxa"/>
            <w:left w:w="0" w:type="dxa"/>
            <w:bottom w:w="0" w:type="dxa"/>
            <w:right w:w="0" w:type="dxa"/>
          </w:tblCellMar>
        </w:tblPrEx>
        <w:trPr>
          <w:trHeight w:val="683" w:hRule="atLeast"/>
          <w:jc w:val="center"/>
        </w:trPr>
        <w:tc>
          <w:tcPr>
            <w:tcW w:w="1730"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行政事业性收费</w:t>
            </w:r>
          </w:p>
        </w:tc>
        <w:tc>
          <w:tcPr>
            <w:tcW w:w="7290"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jc w:val="center"/>
              <w:rPr>
                <w:rFonts w:hint="eastAsia" w:ascii="宋体" w:eastAsia="仿宋"/>
                <w:sz w:val="18"/>
                <w:szCs w:val="18"/>
                <w:lang w:val="en-US" w:eastAsia="zh-CN"/>
              </w:rPr>
            </w:pPr>
            <w:r>
              <w:rPr>
                <w:rFonts w:hint="eastAsia" w:ascii="宋体"/>
                <w:sz w:val="18"/>
                <w:szCs w:val="18"/>
                <w:lang w:val="en-US" w:eastAsia="zh-CN"/>
              </w:rPr>
              <w:t>0</w:t>
            </w:r>
          </w:p>
        </w:tc>
      </w:tr>
    </w:tbl>
    <w:p>
      <w:pPr>
        <w:keepNext w:val="0"/>
        <w:keepLines w:val="0"/>
        <w:pageBreakBefore w:val="0"/>
        <w:widowControl w:val="0"/>
        <w:numPr>
          <w:ilvl w:val="0"/>
          <w:numId w:val="0"/>
        </w:numPr>
        <w:kinsoku/>
        <w:wordWrap/>
        <w:overflowPunct/>
        <w:topLinePunct w:val="0"/>
        <w:autoSpaceDE/>
        <w:autoSpaceDN/>
        <w:bidi w:val="0"/>
        <w:adjustRightInd/>
        <w:snapToGrid/>
        <w:spacing w:before="176" w:beforeLines="30" w:after="118" w:afterLines="20"/>
        <w:ind w:firstLine="640" w:firstLineChars="200"/>
        <w:textAlignment w:val="auto"/>
        <w:outlineLvl w:val="9"/>
        <w:rPr>
          <w:rFonts w:hint="eastAsia" w:ascii="黑体" w:hAnsi="黑体" w:eastAsia="黑体" w:cs="黑体"/>
          <w:b w:val="0"/>
          <w:bCs w:val="0"/>
          <w:lang w:val="en-US" w:eastAsia="zh-CN"/>
        </w:rPr>
      </w:pPr>
      <w:r>
        <w:rPr>
          <w:rFonts w:hint="eastAsia" w:ascii="黑体" w:hAnsi="黑体" w:eastAsia="黑体" w:cs="黑体"/>
          <w:b w:val="0"/>
          <w:bCs w:val="0"/>
          <w:lang w:val="en-US" w:eastAsia="zh-CN"/>
        </w:rPr>
        <w:t>三、行政机关收到和处理政府信息公开申请情况</w:t>
      </w:r>
    </w:p>
    <w:tbl>
      <w:tblPr>
        <w:tblStyle w:val="3"/>
        <w:tblW w:w="90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818"/>
        <w:gridCol w:w="835"/>
        <w:gridCol w:w="2579"/>
        <w:gridCol w:w="688"/>
        <w:gridCol w:w="688"/>
        <w:gridCol w:w="688"/>
        <w:gridCol w:w="688"/>
        <w:gridCol w:w="688"/>
        <w:gridCol w:w="688"/>
        <w:gridCol w:w="688"/>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232" w:type="dxa"/>
            <w:gridSpan w:val="3"/>
            <w:vMerge w:val="restart"/>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ascii="楷体" w:hAnsi="楷体" w:eastAsia="楷体" w:cs="楷体"/>
                <w:kern w:val="0"/>
                <w:sz w:val="20"/>
                <w:szCs w:val="20"/>
                <w:lang w:val="en-US" w:eastAsia="zh-CN" w:bidi="ar"/>
              </w:rPr>
              <w:t>（本列数据的勾稽关系为：第一项加第二项之和，等于第三项加第四项之和）</w:t>
            </w:r>
          </w:p>
        </w:tc>
        <w:tc>
          <w:tcPr>
            <w:tcW w:w="4816" w:type="dxa"/>
            <w:gridSpan w:val="7"/>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pPr>
            <w:r>
              <w:rPr>
                <w:rFonts w:hint="eastAsia" w:ascii="宋体" w:hAnsi="宋体" w:eastAsia="宋体" w:cs="宋体"/>
                <w:kern w:val="0"/>
                <w:sz w:val="20"/>
                <w:szCs w:val="20"/>
                <w:lang w:val="en-US" w:eastAsia="zh-CN" w:bidi="ar"/>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232" w:type="dxa"/>
            <w:gridSpan w:val="3"/>
            <w:vMerge w:val="continue"/>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688" w:type="dxa"/>
            <w:vMerge w:val="restar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pPr>
            <w:r>
              <w:rPr>
                <w:rFonts w:hint="eastAsia" w:ascii="宋体" w:hAnsi="宋体" w:eastAsia="宋体" w:cs="宋体"/>
                <w:kern w:val="0"/>
                <w:sz w:val="20"/>
                <w:szCs w:val="20"/>
                <w:lang w:val="en-US" w:eastAsia="zh-CN" w:bidi="ar"/>
              </w:rPr>
              <w:t>自然人</w:t>
            </w:r>
          </w:p>
        </w:tc>
        <w:tc>
          <w:tcPr>
            <w:tcW w:w="3440" w:type="dxa"/>
            <w:gridSpan w:val="5"/>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pPr>
            <w:r>
              <w:rPr>
                <w:rFonts w:hint="eastAsia" w:ascii="宋体" w:hAnsi="宋体" w:eastAsia="宋体" w:cs="宋体"/>
                <w:kern w:val="0"/>
                <w:sz w:val="20"/>
                <w:szCs w:val="20"/>
                <w:lang w:val="en-US" w:eastAsia="zh-CN" w:bidi="ar"/>
              </w:rPr>
              <w:t>法人或其他组织</w:t>
            </w:r>
          </w:p>
        </w:tc>
        <w:tc>
          <w:tcPr>
            <w:tcW w:w="688" w:type="dxa"/>
            <w:vMerge w:val="restart"/>
            <w:tcBorders>
              <w:top w:val="single"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pPr>
            <w:r>
              <w:rPr>
                <w:rFonts w:hint="eastAsia" w:ascii="宋体" w:hAnsi="宋体" w:eastAsia="宋体" w:cs="宋体"/>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232" w:type="dxa"/>
            <w:gridSpan w:val="3"/>
            <w:vMerge w:val="continue"/>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688" w:type="dxa"/>
            <w:vMerge w:val="continue"/>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pPr>
            <w:r>
              <w:rPr>
                <w:rFonts w:hint="eastAsia" w:ascii="宋体" w:hAnsi="宋体" w:eastAsia="宋体" w:cs="宋体"/>
                <w:kern w:val="0"/>
                <w:sz w:val="20"/>
                <w:szCs w:val="20"/>
                <w:lang w:val="en-US" w:eastAsia="zh-CN" w:bidi="ar"/>
              </w:rPr>
              <w:t>商业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pPr>
            <w:r>
              <w:rPr>
                <w:rFonts w:hint="eastAsia" w:ascii="宋体" w:hAnsi="宋体" w:eastAsia="宋体" w:cs="宋体"/>
                <w:kern w:val="0"/>
                <w:sz w:val="20"/>
                <w:szCs w:val="20"/>
                <w:lang w:val="en-US" w:eastAsia="zh-CN" w:bidi="ar"/>
              </w:rPr>
              <w:t>企业</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pPr>
            <w:r>
              <w:rPr>
                <w:rFonts w:hint="eastAsia" w:ascii="宋体" w:hAnsi="宋体" w:eastAsia="宋体" w:cs="宋体"/>
                <w:kern w:val="0"/>
                <w:sz w:val="20"/>
                <w:szCs w:val="20"/>
                <w:lang w:val="en-US" w:eastAsia="zh-CN" w:bidi="ar"/>
              </w:rPr>
              <w:t>科研</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pPr>
            <w:r>
              <w:rPr>
                <w:rFonts w:hint="eastAsia" w:ascii="宋体" w:hAnsi="宋体" w:eastAsia="宋体" w:cs="宋体"/>
                <w:kern w:val="0"/>
                <w:sz w:val="20"/>
                <w:szCs w:val="20"/>
                <w:lang w:val="en-US" w:eastAsia="zh-CN" w:bidi="ar"/>
              </w:rPr>
              <w:t>机构</w:t>
            </w:r>
          </w:p>
        </w:tc>
        <w:tc>
          <w:tcPr>
            <w:tcW w:w="688"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pPr>
            <w:r>
              <w:rPr>
                <w:rFonts w:hint="eastAsia" w:ascii="宋体" w:hAnsi="宋体" w:eastAsia="宋体" w:cs="宋体"/>
                <w:kern w:val="0"/>
                <w:sz w:val="20"/>
                <w:szCs w:val="20"/>
                <w:lang w:val="en-US" w:eastAsia="zh-CN" w:bidi="ar"/>
              </w:rPr>
              <w:t>社会公益组织</w:t>
            </w:r>
          </w:p>
        </w:tc>
        <w:tc>
          <w:tcPr>
            <w:tcW w:w="688"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pPr>
            <w:r>
              <w:rPr>
                <w:rFonts w:hint="eastAsia" w:ascii="宋体" w:hAnsi="宋体" w:eastAsia="宋体" w:cs="宋体"/>
                <w:kern w:val="0"/>
                <w:sz w:val="20"/>
                <w:szCs w:val="20"/>
                <w:lang w:val="en-US" w:eastAsia="zh-CN" w:bidi="ar"/>
              </w:rPr>
              <w:t>法律服务机构</w:t>
            </w:r>
          </w:p>
        </w:tc>
        <w:tc>
          <w:tcPr>
            <w:tcW w:w="688"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pPr>
            <w:r>
              <w:rPr>
                <w:rFonts w:hint="eastAsia" w:ascii="宋体" w:hAnsi="宋体" w:eastAsia="宋体" w:cs="宋体"/>
                <w:kern w:val="0"/>
                <w:sz w:val="20"/>
                <w:szCs w:val="20"/>
                <w:lang w:val="en-US" w:eastAsia="zh-CN" w:bidi="ar"/>
              </w:rPr>
              <w:t>其他</w:t>
            </w:r>
          </w:p>
        </w:tc>
        <w:tc>
          <w:tcPr>
            <w:tcW w:w="688" w:type="dxa"/>
            <w:vMerge w:val="continue"/>
            <w:tcBorders>
              <w:top w:val="single"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232"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一、本年新收政府信息公开申请数量</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18"/>
                <w:szCs w:val="18"/>
                <w:lang w:val="en-US" w:eastAsia="zh-CN"/>
              </w:rPr>
            </w:pPr>
            <w:r>
              <w:rPr>
                <w:rFonts w:hint="eastAsia" w:asciiTheme="majorEastAsia" w:hAnsiTheme="majorEastAsia" w:eastAsiaTheme="majorEastAsia" w:cstheme="majorEastAsia"/>
                <w:sz w:val="18"/>
                <w:szCs w:val="18"/>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18"/>
                <w:szCs w:val="18"/>
                <w:lang w:val="en-US" w:eastAsia="zh-CN"/>
              </w:rPr>
            </w:pPr>
            <w:r>
              <w:rPr>
                <w:rFonts w:hint="eastAsia" w:asciiTheme="majorEastAsia" w:hAnsiTheme="majorEastAsia" w:eastAsiaTheme="majorEastAsia" w:cstheme="majorEastAsia"/>
                <w:sz w:val="18"/>
                <w:szCs w:val="18"/>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18"/>
                <w:szCs w:val="18"/>
                <w:lang w:val="en-US" w:eastAsia="zh-CN"/>
              </w:rPr>
            </w:pPr>
            <w:r>
              <w:rPr>
                <w:rFonts w:hint="eastAsia" w:asciiTheme="majorEastAsia" w:hAnsiTheme="majorEastAsia" w:eastAsiaTheme="majorEastAsia" w:cstheme="majorEastAsia"/>
                <w:sz w:val="18"/>
                <w:szCs w:val="18"/>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18"/>
                <w:szCs w:val="18"/>
                <w:lang w:val="en-US" w:eastAsia="zh-CN"/>
              </w:rPr>
            </w:pPr>
            <w:r>
              <w:rPr>
                <w:rFonts w:hint="eastAsia" w:asciiTheme="majorEastAsia" w:hAnsiTheme="majorEastAsia" w:eastAsiaTheme="majorEastAsia" w:cstheme="majorEastAsia"/>
                <w:sz w:val="18"/>
                <w:szCs w:val="18"/>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18"/>
                <w:szCs w:val="18"/>
                <w:lang w:val="en-US" w:eastAsia="zh-CN"/>
              </w:rPr>
            </w:pPr>
            <w:r>
              <w:rPr>
                <w:rFonts w:hint="eastAsia" w:asciiTheme="majorEastAsia" w:hAnsiTheme="majorEastAsia" w:eastAsiaTheme="majorEastAsia" w:cstheme="majorEastAsia"/>
                <w:sz w:val="18"/>
                <w:szCs w:val="18"/>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18"/>
                <w:szCs w:val="18"/>
                <w:lang w:val="en-US" w:eastAsia="zh-CN"/>
              </w:rPr>
            </w:pPr>
            <w:r>
              <w:rPr>
                <w:rFonts w:hint="eastAsia" w:asciiTheme="majorEastAsia" w:hAnsiTheme="majorEastAsia" w:eastAsiaTheme="majorEastAsia" w:cstheme="majorEastAsia"/>
                <w:sz w:val="18"/>
                <w:szCs w:val="18"/>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18"/>
                <w:szCs w:val="18"/>
                <w:lang w:val="en-US" w:eastAsia="zh-CN"/>
              </w:rPr>
            </w:pPr>
            <w:r>
              <w:rPr>
                <w:rFonts w:hint="eastAsia" w:asciiTheme="majorEastAsia" w:hAnsiTheme="majorEastAsia" w:eastAsiaTheme="majorEastAsia" w:cstheme="majorEastAsia"/>
                <w:sz w:val="18"/>
                <w:szCs w:val="18"/>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232"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二、上年结转政府信息公开申请数量</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18"/>
                <w:szCs w:val="18"/>
                <w:lang w:val="en-US" w:eastAsia="zh-CN"/>
              </w:rPr>
            </w:pPr>
            <w:r>
              <w:rPr>
                <w:rFonts w:hint="eastAsia" w:asciiTheme="majorEastAsia" w:hAnsiTheme="majorEastAsia" w:eastAsiaTheme="majorEastAsia" w:cstheme="majorEastAsia"/>
                <w:sz w:val="18"/>
                <w:szCs w:val="18"/>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18"/>
                <w:szCs w:val="18"/>
                <w:lang w:val="en-US" w:eastAsia="zh-CN"/>
              </w:rPr>
            </w:pPr>
            <w:r>
              <w:rPr>
                <w:rFonts w:hint="eastAsia" w:asciiTheme="majorEastAsia" w:hAnsiTheme="majorEastAsia" w:eastAsiaTheme="majorEastAsia" w:cstheme="majorEastAsia"/>
                <w:sz w:val="18"/>
                <w:szCs w:val="18"/>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default" w:asciiTheme="majorEastAsia" w:hAnsiTheme="majorEastAsia" w:eastAsiaTheme="majorEastAsia" w:cstheme="majorEastAsia"/>
                <w:sz w:val="18"/>
                <w:szCs w:val="18"/>
                <w:lang w:val="en-US" w:eastAsia="zh-CN"/>
              </w:rPr>
            </w:pPr>
            <w:r>
              <w:rPr>
                <w:rFonts w:hint="eastAsia" w:asciiTheme="majorEastAsia" w:hAnsiTheme="majorEastAsia" w:eastAsiaTheme="majorEastAsia" w:cstheme="majorEastAsia"/>
                <w:sz w:val="18"/>
                <w:szCs w:val="18"/>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18"/>
                <w:szCs w:val="18"/>
                <w:lang w:val="en-US" w:eastAsia="zh-CN"/>
              </w:rPr>
            </w:pPr>
            <w:r>
              <w:rPr>
                <w:rFonts w:hint="eastAsia" w:asciiTheme="majorEastAsia" w:hAnsiTheme="majorEastAsia" w:eastAsiaTheme="majorEastAsia" w:cstheme="majorEastAsia"/>
                <w:sz w:val="18"/>
                <w:szCs w:val="18"/>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18"/>
                <w:szCs w:val="18"/>
                <w:lang w:val="en-US" w:eastAsia="zh-CN"/>
              </w:rPr>
            </w:pPr>
            <w:r>
              <w:rPr>
                <w:rFonts w:hint="eastAsia" w:asciiTheme="majorEastAsia" w:hAnsiTheme="majorEastAsia" w:eastAsiaTheme="majorEastAsia" w:cstheme="majorEastAsia"/>
                <w:sz w:val="18"/>
                <w:szCs w:val="18"/>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18"/>
                <w:szCs w:val="18"/>
                <w:lang w:val="en-US" w:eastAsia="zh-CN"/>
              </w:rPr>
            </w:pPr>
            <w:r>
              <w:rPr>
                <w:rFonts w:hint="eastAsia" w:asciiTheme="majorEastAsia" w:hAnsiTheme="majorEastAsia" w:eastAsiaTheme="majorEastAsia" w:cstheme="majorEastAsia"/>
                <w:sz w:val="18"/>
                <w:szCs w:val="18"/>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818" w:type="dxa"/>
            <w:vMerge w:val="restart"/>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三、本年度办理结果</w:t>
            </w:r>
          </w:p>
        </w:tc>
        <w:tc>
          <w:tcPr>
            <w:tcW w:w="3414"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（一）予以公开</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18"/>
                <w:szCs w:val="18"/>
                <w:lang w:val="en-US" w:eastAsia="zh-CN"/>
              </w:rPr>
            </w:pPr>
            <w:r>
              <w:rPr>
                <w:rFonts w:hint="eastAsia" w:asciiTheme="majorEastAsia" w:hAnsiTheme="majorEastAsia" w:eastAsiaTheme="majorEastAsia" w:cstheme="majorEastAsia"/>
                <w:sz w:val="18"/>
                <w:szCs w:val="18"/>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18"/>
                <w:szCs w:val="18"/>
                <w:lang w:val="en-US" w:eastAsia="zh-CN"/>
              </w:rPr>
            </w:pPr>
            <w:r>
              <w:rPr>
                <w:rFonts w:hint="eastAsia" w:asciiTheme="majorEastAsia" w:hAnsiTheme="majorEastAsia" w:eastAsiaTheme="majorEastAsia" w:cstheme="majorEastAsia"/>
                <w:sz w:val="18"/>
                <w:szCs w:val="18"/>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18"/>
                <w:szCs w:val="18"/>
                <w:lang w:val="en-US" w:eastAsia="zh-CN"/>
              </w:rPr>
            </w:pPr>
            <w:r>
              <w:rPr>
                <w:rFonts w:hint="eastAsia" w:asciiTheme="majorEastAsia" w:hAnsiTheme="majorEastAsia" w:eastAsiaTheme="majorEastAsia" w:cstheme="majorEastAsia"/>
                <w:sz w:val="18"/>
                <w:szCs w:val="18"/>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18"/>
                <w:szCs w:val="18"/>
                <w:lang w:val="en-US" w:eastAsia="zh-CN"/>
              </w:rPr>
            </w:pPr>
            <w:r>
              <w:rPr>
                <w:rFonts w:hint="eastAsia" w:asciiTheme="majorEastAsia" w:hAnsiTheme="majorEastAsia" w:eastAsiaTheme="majorEastAsia" w:cstheme="majorEastAsia"/>
                <w:sz w:val="18"/>
                <w:szCs w:val="18"/>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18"/>
                <w:szCs w:val="18"/>
                <w:lang w:val="en-US" w:eastAsia="zh-CN"/>
              </w:rPr>
            </w:pPr>
            <w:r>
              <w:rPr>
                <w:rFonts w:hint="eastAsia" w:asciiTheme="majorEastAsia" w:hAnsiTheme="majorEastAsia" w:eastAsiaTheme="majorEastAsia" w:cstheme="majorEastAsia"/>
                <w:sz w:val="18"/>
                <w:szCs w:val="18"/>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18"/>
                <w:szCs w:val="18"/>
                <w:lang w:val="en-US" w:eastAsia="zh-CN"/>
              </w:rPr>
            </w:pPr>
            <w:r>
              <w:rPr>
                <w:rFonts w:hint="eastAsia" w:asciiTheme="majorEastAsia" w:hAnsiTheme="majorEastAsia" w:eastAsiaTheme="majorEastAsia" w:cstheme="majorEastAsia"/>
                <w:sz w:val="18"/>
                <w:szCs w:val="18"/>
                <w:lang w:val="en-US" w:eastAsia="zh-CN"/>
              </w:rPr>
              <w:t>0</w:t>
            </w:r>
          </w:p>
        </w:tc>
        <w:tc>
          <w:tcPr>
            <w:tcW w:w="688"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3414"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（二）部分公开</w:t>
            </w:r>
            <w:r>
              <w:rPr>
                <w:rFonts w:hint="eastAsia" w:ascii="楷体" w:hAnsi="楷体" w:eastAsia="楷体" w:cs="楷体"/>
                <w:kern w:val="0"/>
                <w:sz w:val="20"/>
                <w:szCs w:val="20"/>
                <w:lang w:val="en-US" w:eastAsia="zh-CN" w:bidi="ar"/>
              </w:rPr>
              <w:t>（区分处理的，只计这一情形，不计其他情形）</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18"/>
                <w:szCs w:val="18"/>
                <w:lang w:val="en-US" w:eastAsia="zh-CN"/>
              </w:rPr>
            </w:pPr>
            <w:r>
              <w:rPr>
                <w:rFonts w:hint="eastAsia" w:asciiTheme="majorEastAsia" w:hAnsiTheme="majorEastAsia" w:eastAsiaTheme="majorEastAsia" w:cstheme="majorEastAsia"/>
                <w:sz w:val="18"/>
                <w:szCs w:val="18"/>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18"/>
                <w:szCs w:val="18"/>
                <w:lang w:val="en-US" w:eastAsia="zh-CN"/>
              </w:rPr>
            </w:pPr>
            <w:r>
              <w:rPr>
                <w:rFonts w:hint="eastAsia" w:asciiTheme="majorEastAsia" w:hAnsiTheme="majorEastAsia" w:eastAsiaTheme="majorEastAsia" w:cstheme="majorEastAsia"/>
                <w:sz w:val="18"/>
                <w:szCs w:val="18"/>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18"/>
                <w:szCs w:val="18"/>
                <w:lang w:val="en-US" w:eastAsia="zh-CN"/>
              </w:rPr>
            </w:pPr>
            <w:r>
              <w:rPr>
                <w:rFonts w:hint="eastAsia" w:asciiTheme="majorEastAsia" w:hAnsiTheme="majorEastAsia" w:eastAsiaTheme="majorEastAsia" w:cstheme="majorEastAsia"/>
                <w:sz w:val="18"/>
                <w:szCs w:val="18"/>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18"/>
                <w:szCs w:val="18"/>
                <w:lang w:val="en-US" w:eastAsia="zh-CN"/>
              </w:rPr>
            </w:pPr>
            <w:r>
              <w:rPr>
                <w:rFonts w:hint="eastAsia" w:asciiTheme="majorEastAsia" w:hAnsiTheme="majorEastAsia" w:eastAsiaTheme="majorEastAsia" w:cstheme="majorEastAsia"/>
                <w:sz w:val="18"/>
                <w:szCs w:val="18"/>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18"/>
                <w:szCs w:val="18"/>
                <w:lang w:val="en-US" w:eastAsia="zh-CN"/>
              </w:rPr>
            </w:pPr>
            <w:r>
              <w:rPr>
                <w:rFonts w:hint="eastAsia" w:asciiTheme="majorEastAsia" w:hAnsiTheme="majorEastAsia" w:eastAsiaTheme="majorEastAsia" w:cstheme="majorEastAsia"/>
                <w:sz w:val="18"/>
                <w:szCs w:val="18"/>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18"/>
                <w:szCs w:val="18"/>
                <w:lang w:val="en-US" w:eastAsia="zh-CN"/>
              </w:rPr>
            </w:pPr>
            <w:r>
              <w:rPr>
                <w:rFonts w:hint="eastAsia" w:asciiTheme="majorEastAsia" w:hAnsiTheme="majorEastAsia" w:eastAsiaTheme="majorEastAsia" w:cstheme="majorEastAsia"/>
                <w:sz w:val="18"/>
                <w:szCs w:val="18"/>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（三）不予公开</w:t>
            </w: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1.属于国家秘密</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18"/>
                <w:szCs w:val="18"/>
                <w:lang w:val="en-US" w:eastAsia="zh-CN"/>
              </w:rPr>
            </w:pPr>
            <w:r>
              <w:rPr>
                <w:rFonts w:hint="eastAsia" w:asciiTheme="majorEastAsia" w:hAnsiTheme="majorEastAsia" w:eastAsiaTheme="majorEastAsia" w:cstheme="majorEastAsia"/>
                <w:sz w:val="18"/>
                <w:szCs w:val="18"/>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18"/>
                <w:szCs w:val="18"/>
                <w:lang w:val="en-US" w:eastAsia="zh-CN"/>
              </w:rPr>
            </w:pPr>
            <w:r>
              <w:rPr>
                <w:rFonts w:hint="eastAsia" w:asciiTheme="majorEastAsia" w:hAnsiTheme="majorEastAsia" w:eastAsiaTheme="majorEastAsia" w:cstheme="majorEastAsia"/>
                <w:sz w:val="18"/>
                <w:szCs w:val="18"/>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18"/>
                <w:szCs w:val="18"/>
                <w:lang w:val="en-US" w:eastAsia="zh-CN"/>
              </w:rPr>
            </w:pPr>
            <w:r>
              <w:rPr>
                <w:rFonts w:hint="eastAsia" w:asciiTheme="majorEastAsia" w:hAnsiTheme="majorEastAsia" w:eastAsiaTheme="majorEastAsia" w:cstheme="majorEastAsia"/>
                <w:sz w:val="18"/>
                <w:szCs w:val="18"/>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18"/>
                <w:szCs w:val="18"/>
                <w:lang w:val="en-US" w:eastAsia="zh-CN"/>
              </w:rPr>
            </w:pPr>
            <w:r>
              <w:rPr>
                <w:rFonts w:hint="eastAsia" w:asciiTheme="majorEastAsia" w:hAnsiTheme="majorEastAsia" w:eastAsiaTheme="majorEastAsia" w:cstheme="majorEastAsia"/>
                <w:sz w:val="18"/>
                <w:szCs w:val="18"/>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18"/>
                <w:szCs w:val="18"/>
                <w:lang w:val="en-US" w:eastAsia="zh-CN"/>
              </w:rPr>
            </w:pPr>
            <w:r>
              <w:rPr>
                <w:rFonts w:hint="eastAsia" w:asciiTheme="majorEastAsia" w:hAnsiTheme="majorEastAsia" w:eastAsiaTheme="majorEastAsia" w:cstheme="majorEastAsia"/>
                <w:sz w:val="18"/>
                <w:szCs w:val="18"/>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18"/>
                <w:szCs w:val="18"/>
                <w:lang w:val="en-US" w:eastAsia="zh-CN"/>
              </w:rPr>
            </w:pPr>
            <w:r>
              <w:rPr>
                <w:rFonts w:hint="eastAsia" w:asciiTheme="majorEastAsia" w:hAnsiTheme="majorEastAsia" w:eastAsiaTheme="majorEastAsia" w:cstheme="majorEastAsia"/>
                <w:sz w:val="18"/>
                <w:szCs w:val="18"/>
                <w:lang w:val="en-US" w:eastAsia="zh-CN"/>
              </w:rPr>
              <w:t>0</w:t>
            </w:r>
          </w:p>
        </w:tc>
        <w:tc>
          <w:tcPr>
            <w:tcW w:w="688"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18"/>
                <w:szCs w:val="18"/>
                <w:lang w:val="en-US" w:eastAsia="zh-CN"/>
              </w:rPr>
            </w:pPr>
            <w:r>
              <w:rPr>
                <w:rFonts w:hint="eastAsia" w:asciiTheme="majorEastAsia" w:hAnsiTheme="majorEastAsia" w:eastAsiaTheme="majorEastAsia" w:cstheme="majorEastAsia"/>
                <w:sz w:val="18"/>
                <w:szCs w:val="18"/>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2.其他法律行政法规禁止公开</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18"/>
                <w:szCs w:val="18"/>
                <w:lang w:val="en-US" w:eastAsia="zh-CN"/>
              </w:rPr>
            </w:pPr>
            <w:r>
              <w:rPr>
                <w:rFonts w:hint="eastAsia" w:asciiTheme="majorEastAsia" w:hAnsiTheme="majorEastAsia" w:eastAsiaTheme="majorEastAsia" w:cstheme="majorEastAsia"/>
                <w:sz w:val="18"/>
                <w:szCs w:val="18"/>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18"/>
                <w:szCs w:val="18"/>
                <w:lang w:val="en-US" w:eastAsia="zh-CN"/>
              </w:rPr>
            </w:pPr>
            <w:r>
              <w:rPr>
                <w:rFonts w:hint="eastAsia" w:asciiTheme="majorEastAsia" w:hAnsiTheme="majorEastAsia" w:eastAsiaTheme="majorEastAsia" w:cstheme="majorEastAsia"/>
                <w:sz w:val="18"/>
                <w:szCs w:val="18"/>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18"/>
                <w:szCs w:val="18"/>
                <w:lang w:val="en-US" w:eastAsia="zh-CN"/>
              </w:rPr>
            </w:pPr>
            <w:r>
              <w:rPr>
                <w:rFonts w:hint="eastAsia" w:asciiTheme="majorEastAsia" w:hAnsiTheme="majorEastAsia" w:eastAsiaTheme="majorEastAsia" w:cstheme="majorEastAsia"/>
                <w:sz w:val="18"/>
                <w:szCs w:val="18"/>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18"/>
                <w:szCs w:val="18"/>
                <w:lang w:val="en-US" w:eastAsia="zh-CN"/>
              </w:rPr>
            </w:pPr>
            <w:r>
              <w:rPr>
                <w:rFonts w:hint="eastAsia" w:asciiTheme="majorEastAsia" w:hAnsiTheme="majorEastAsia" w:eastAsiaTheme="majorEastAsia" w:cstheme="majorEastAsia"/>
                <w:sz w:val="18"/>
                <w:szCs w:val="18"/>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18"/>
                <w:szCs w:val="18"/>
                <w:lang w:val="en-US" w:eastAsia="zh-CN"/>
              </w:rPr>
            </w:pPr>
            <w:r>
              <w:rPr>
                <w:rFonts w:hint="eastAsia" w:asciiTheme="majorEastAsia" w:hAnsiTheme="majorEastAsia" w:eastAsiaTheme="majorEastAsia" w:cstheme="majorEastAsia"/>
                <w:sz w:val="18"/>
                <w:szCs w:val="18"/>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18"/>
                <w:szCs w:val="18"/>
                <w:lang w:val="en-US" w:eastAsia="zh-CN"/>
              </w:rPr>
            </w:pPr>
            <w:r>
              <w:rPr>
                <w:rFonts w:hint="eastAsia" w:asciiTheme="majorEastAsia" w:hAnsiTheme="majorEastAsia" w:eastAsiaTheme="majorEastAsia" w:cstheme="majorEastAsia"/>
                <w:sz w:val="18"/>
                <w:szCs w:val="18"/>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18"/>
                <w:szCs w:val="18"/>
                <w:lang w:val="en-US" w:eastAsia="zh-CN"/>
              </w:rPr>
            </w:pPr>
            <w:r>
              <w:rPr>
                <w:rFonts w:hint="eastAsia" w:asciiTheme="majorEastAsia" w:hAnsiTheme="majorEastAsia" w:eastAsiaTheme="majorEastAsia" w:cstheme="majorEastAsia"/>
                <w:sz w:val="18"/>
                <w:szCs w:val="18"/>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3.危及“三安全一稳定”</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18"/>
                <w:szCs w:val="18"/>
                <w:lang w:val="en-US" w:eastAsia="zh-CN"/>
              </w:rPr>
            </w:pPr>
            <w:r>
              <w:rPr>
                <w:rFonts w:hint="eastAsia" w:asciiTheme="majorEastAsia" w:hAnsiTheme="majorEastAsia" w:eastAsiaTheme="majorEastAsia" w:cstheme="majorEastAsia"/>
                <w:sz w:val="18"/>
                <w:szCs w:val="18"/>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18"/>
                <w:szCs w:val="18"/>
                <w:lang w:val="en-US" w:eastAsia="zh-CN"/>
              </w:rPr>
            </w:pPr>
            <w:r>
              <w:rPr>
                <w:rFonts w:hint="eastAsia" w:asciiTheme="majorEastAsia" w:hAnsiTheme="majorEastAsia" w:eastAsiaTheme="majorEastAsia" w:cstheme="majorEastAsia"/>
                <w:sz w:val="18"/>
                <w:szCs w:val="18"/>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18"/>
                <w:szCs w:val="18"/>
                <w:lang w:val="en-US" w:eastAsia="zh-CN"/>
              </w:rPr>
            </w:pPr>
            <w:r>
              <w:rPr>
                <w:rFonts w:hint="eastAsia" w:asciiTheme="majorEastAsia" w:hAnsiTheme="majorEastAsia" w:eastAsiaTheme="majorEastAsia" w:cstheme="majorEastAsia"/>
                <w:sz w:val="18"/>
                <w:szCs w:val="18"/>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4.保护第三方合法权益</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18"/>
                <w:szCs w:val="18"/>
                <w:lang w:val="en-US" w:eastAsia="zh-CN"/>
              </w:rPr>
            </w:pPr>
            <w:r>
              <w:rPr>
                <w:rFonts w:hint="eastAsia" w:asciiTheme="majorEastAsia" w:hAnsiTheme="majorEastAsia" w:eastAsiaTheme="majorEastAsia" w:cstheme="majorEastAsia"/>
                <w:sz w:val="18"/>
                <w:szCs w:val="18"/>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18"/>
                <w:szCs w:val="18"/>
                <w:lang w:val="en-US" w:eastAsia="zh-CN"/>
              </w:rPr>
            </w:pPr>
            <w:r>
              <w:rPr>
                <w:rFonts w:hint="eastAsia" w:asciiTheme="majorEastAsia" w:hAnsiTheme="majorEastAsia" w:eastAsiaTheme="majorEastAsia" w:cstheme="majorEastAsia"/>
                <w:sz w:val="18"/>
                <w:szCs w:val="18"/>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18"/>
                <w:szCs w:val="18"/>
                <w:lang w:val="en-US" w:eastAsia="zh-CN"/>
              </w:rPr>
            </w:pPr>
            <w:r>
              <w:rPr>
                <w:rFonts w:hint="eastAsia" w:asciiTheme="majorEastAsia" w:hAnsiTheme="majorEastAsia" w:eastAsiaTheme="majorEastAsia" w:cstheme="majorEastAsia"/>
                <w:sz w:val="18"/>
                <w:szCs w:val="18"/>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5.属于三类内部事务信息</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18"/>
                <w:szCs w:val="18"/>
                <w:lang w:val="en-US" w:eastAsia="zh-CN"/>
              </w:rPr>
            </w:pPr>
            <w:r>
              <w:rPr>
                <w:rFonts w:hint="eastAsia" w:asciiTheme="majorEastAsia" w:hAnsiTheme="majorEastAsia" w:eastAsiaTheme="majorEastAsia" w:cstheme="majorEastAsia"/>
                <w:sz w:val="18"/>
                <w:szCs w:val="18"/>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18"/>
                <w:szCs w:val="18"/>
                <w:lang w:val="en-US" w:eastAsia="zh-CN"/>
              </w:rPr>
            </w:pPr>
            <w:r>
              <w:rPr>
                <w:rFonts w:hint="eastAsia" w:asciiTheme="majorEastAsia" w:hAnsiTheme="majorEastAsia" w:eastAsiaTheme="majorEastAsia" w:cstheme="majorEastAsia"/>
                <w:sz w:val="18"/>
                <w:szCs w:val="18"/>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18"/>
                <w:szCs w:val="18"/>
                <w:lang w:val="en-US" w:eastAsia="zh-CN"/>
              </w:rPr>
            </w:pPr>
            <w:r>
              <w:rPr>
                <w:rFonts w:hint="eastAsia" w:asciiTheme="majorEastAsia" w:hAnsiTheme="majorEastAsia" w:eastAsiaTheme="majorEastAsia" w:cstheme="majorEastAsia"/>
                <w:sz w:val="18"/>
                <w:szCs w:val="18"/>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6.属于四类过程性信息</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18"/>
                <w:szCs w:val="18"/>
                <w:lang w:val="en-US" w:eastAsia="zh-CN"/>
              </w:rPr>
            </w:pPr>
            <w:r>
              <w:rPr>
                <w:rFonts w:hint="eastAsia" w:asciiTheme="majorEastAsia" w:hAnsiTheme="majorEastAsia" w:eastAsiaTheme="majorEastAsia" w:cstheme="majorEastAsia"/>
                <w:sz w:val="18"/>
                <w:szCs w:val="18"/>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18"/>
                <w:szCs w:val="18"/>
                <w:lang w:val="en-US" w:eastAsia="zh-CN"/>
              </w:rPr>
            </w:pPr>
            <w:r>
              <w:rPr>
                <w:rFonts w:hint="eastAsia" w:asciiTheme="majorEastAsia" w:hAnsiTheme="majorEastAsia" w:eastAsiaTheme="majorEastAsia" w:cstheme="majorEastAsia"/>
                <w:sz w:val="18"/>
                <w:szCs w:val="18"/>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7.属于行政执法案卷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18"/>
                <w:szCs w:val="18"/>
                <w:lang w:val="en-US" w:eastAsia="zh-CN"/>
              </w:rPr>
            </w:pPr>
            <w:r>
              <w:rPr>
                <w:rFonts w:hint="eastAsia" w:asciiTheme="majorEastAsia" w:hAnsiTheme="majorEastAsia" w:eastAsiaTheme="majorEastAsia" w:cstheme="majorEastAsia"/>
                <w:sz w:val="18"/>
                <w:szCs w:val="18"/>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8.属于行政查询事项</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18"/>
                <w:szCs w:val="18"/>
                <w:lang w:val="en-US" w:eastAsia="zh-CN"/>
              </w:rPr>
            </w:pPr>
            <w:r>
              <w:rPr>
                <w:rFonts w:hint="eastAsia" w:asciiTheme="majorEastAsia" w:hAnsiTheme="majorEastAsia" w:eastAsiaTheme="majorEastAsia" w:cstheme="majorEastAsia"/>
                <w:sz w:val="18"/>
                <w:szCs w:val="18"/>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（四）无法提供</w:t>
            </w: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1.本机关不掌握相关政府信息</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18"/>
                <w:szCs w:val="18"/>
                <w:lang w:val="en-US" w:eastAsia="zh-CN"/>
              </w:rPr>
            </w:pPr>
            <w:r>
              <w:rPr>
                <w:rFonts w:hint="eastAsia" w:asciiTheme="majorEastAsia" w:hAnsiTheme="majorEastAsia" w:eastAsiaTheme="majorEastAsia" w:cstheme="majorEastAsia"/>
                <w:sz w:val="18"/>
                <w:szCs w:val="18"/>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2.没有现成信息需要另行制作</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18"/>
                <w:szCs w:val="18"/>
                <w:lang w:val="en-US" w:eastAsia="zh-CN"/>
              </w:rPr>
            </w:pPr>
            <w:r>
              <w:rPr>
                <w:rFonts w:hint="eastAsia" w:asciiTheme="majorEastAsia" w:hAnsiTheme="majorEastAsia" w:eastAsiaTheme="majorEastAsia" w:cstheme="majorEastAsia"/>
                <w:sz w:val="18"/>
                <w:szCs w:val="18"/>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3.补正后申请内容仍不明确</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18"/>
                <w:szCs w:val="18"/>
                <w:lang w:val="en-US" w:eastAsia="zh-CN"/>
              </w:rPr>
            </w:pPr>
            <w:r>
              <w:rPr>
                <w:rFonts w:hint="eastAsia" w:asciiTheme="majorEastAsia" w:hAnsiTheme="majorEastAsia" w:eastAsiaTheme="majorEastAsia" w:cstheme="majorEastAsia"/>
                <w:sz w:val="18"/>
                <w:szCs w:val="18"/>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（五）不予处理</w:t>
            </w: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1.信访举报投诉类申请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18"/>
                <w:szCs w:val="18"/>
                <w:lang w:val="en-US" w:eastAsia="zh-CN"/>
              </w:rPr>
            </w:pPr>
            <w:r>
              <w:rPr>
                <w:rFonts w:hint="eastAsia" w:asciiTheme="majorEastAsia" w:hAnsiTheme="majorEastAsia" w:eastAsiaTheme="majorEastAsia" w:cstheme="majorEastAsia"/>
                <w:sz w:val="18"/>
                <w:szCs w:val="18"/>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2.重复申请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18"/>
                <w:szCs w:val="18"/>
                <w:lang w:val="en-US" w:eastAsia="zh-CN"/>
              </w:rPr>
            </w:pPr>
            <w:r>
              <w:rPr>
                <w:rFonts w:hint="eastAsia" w:asciiTheme="majorEastAsia" w:hAnsiTheme="majorEastAsia" w:eastAsiaTheme="majorEastAsia" w:cstheme="majorEastAsia"/>
                <w:sz w:val="18"/>
                <w:szCs w:val="18"/>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3.要求提供公开出版物</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18"/>
                <w:szCs w:val="18"/>
                <w:lang w:val="en-US" w:eastAsia="zh-CN"/>
              </w:rPr>
            </w:pPr>
            <w:r>
              <w:rPr>
                <w:rFonts w:hint="eastAsia" w:asciiTheme="majorEastAsia" w:hAnsiTheme="majorEastAsia" w:eastAsiaTheme="majorEastAsia" w:cstheme="majorEastAsia"/>
                <w:sz w:val="18"/>
                <w:szCs w:val="18"/>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4.无正当理由大量反复申请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18"/>
                <w:szCs w:val="18"/>
                <w:lang w:val="en-US" w:eastAsia="zh-CN"/>
              </w:rPr>
            </w:pPr>
            <w:r>
              <w:rPr>
                <w:rFonts w:hint="eastAsia" w:asciiTheme="majorEastAsia" w:hAnsiTheme="majorEastAsia" w:eastAsiaTheme="majorEastAsia" w:cstheme="majorEastAsia"/>
                <w:sz w:val="18"/>
                <w:szCs w:val="18"/>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79" w:hRule="atLeast"/>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both"/>
              <w:textAlignment w:val="auto"/>
              <w:outlineLvl w:val="9"/>
            </w:pPr>
            <w:r>
              <w:rPr>
                <w:rFonts w:hint="eastAsia" w:ascii="宋体" w:hAnsi="宋体" w:eastAsia="宋体" w:cs="宋体"/>
                <w:kern w:val="0"/>
                <w:sz w:val="20"/>
                <w:szCs w:val="20"/>
                <w:lang w:val="en-US" w:eastAsia="zh-CN" w:bidi="ar"/>
              </w:rPr>
              <w:t>5.要求行政机关确认或重新出具已获取信息</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lang w:val="en-US" w:eastAsia="zh-CN"/>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lang w:val="en-US" w:eastAsia="zh-CN"/>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lang w:val="en-US" w:eastAsia="zh-CN"/>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lang w:val="en-US" w:eastAsia="zh-CN"/>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lang w:val="en-US" w:eastAsia="zh-CN"/>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lang w:val="en-US" w:eastAsia="zh-CN"/>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18"/>
                <w:szCs w:val="18"/>
                <w:lang w:val="en-US" w:eastAsia="zh-CN"/>
              </w:rPr>
            </w:pPr>
            <w:r>
              <w:rPr>
                <w:rFonts w:hint="eastAsia" w:asciiTheme="majorEastAsia" w:hAnsiTheme="majorEastAsia" w:eastAsiaTheme="majorEastAsia" w:cstheme="majorEastAsia"/>
                <w:sz w:val="18"/>
                <w:szCs w:val="18"/>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restart"/>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（六）其他处理</w:t>
            </w: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both"/>
              <w:textAlignment w:val="auto"/>
              <w:outlineLvl w:val="9"/>
            </w:pPr>
            <w:r>
              <w:rPr>
                <w:rFonts w:hint="eastAsia" w:ascii="宋体" w:hAnsi="宋体" w:eastAsia="宋体" w:cs="宋体"/>
                <w:kern w:val="0"/>
                <w:sz w:val="20"/>
                <w:szCs w:val="20"/>
                <w:lang w:val="en-US" w:eastAsia="zh-CN" w:bidi="ar"/>
              </w:rPr>
              <w:t>1.申请人无正当理由逾期不补正、行政机关不再处理其政府信息公开申请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18"/>
                <w:szCs w:val="18"/>
                <w:lang w:val="en-US" w:eastAsia="zh-CN"/>
              </w:rPr>
            </w:pPr>
            <w:r>
              <w:rPr>
                <w:rFonts w:hint="eastAsia" w:asciiTheme="majorEastAsia" w:hAnsiTheme="majorEastAsia" w:eastAsiaTheme="majorEastAsia" w:cstheme="majorEastAsia"/>
                <w:sz w:val="18"/>
                <w:szCs w:val="18"/>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18"/>
                <w:szCs w:val="18"/>
                <w:lang w:val="en-US" w:eastAsia="zh-CN"/>
              </w:rPr>
            </w:pPr>
            <w:r>
              <w:rPr>
                <w:rFonts w:hint="eastAsia" w:asciiTheme="majorEastAsia" w:hAnsiTheme="majorEastAsia" w:eastAsiaTheme="majorEastAsia" w:cstheme="majorEastAsia"/>
                <w:sz w:val="18"/>
                <w:szCs w:val="18"/>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both"/>
              <w:textAlignment w:val="auto"/>
              <w:outlineLvl w:val="9"/>
            </w:pPr>
            <w:r>
              <w:rPr>
                <w:rFonts w:hint="eastAsia" w:ascii="宋体" w:hAnsi="宋体" w:eastAsia="宋体" w:cs="宋体"/>
                <w:kern w:val="0"/>
                <w:sz w:val="20"/>
                <w:szCs w:val="20"/>
                <w:lang w:val="en-US" w:eastAsia="zh-CN" w:bidi="ar"/>
              </w:rPr>
              <w:t>2.申请人逾期未按收费通知要求缴纳费用、行政机关不再处理其政府信息公开申请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18"/>
                <w:szCs w:val="18"/>
              </w:rPr>
            </w:pPr>
            <w:r>
              <w:rPr>
                <w:rFonts w:hint="eastAsia" w:asciiTheme="majorEastAsia" w:hAnsiTheme="majorEastAsia" w:eastAsiaTheme="majorEastAsia" w:cstheme="majorEastAsia"/>
                <w:sz w:val="18"/>
                <w:szCs w:val="18"/>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18"/>
                <w:szCs w:val="18"/>
                <w:lang w:val="en-US" w:eastAsia="zh-CN"/>
              </w:rPr>
            </w:pPr>
            <w:r>
              <w:rPr>
                <w:rFonts w:hint="eastAsia" w:asciiTheme="majorEastAsia" w:hAnsiTheme="majorEastAsia" w:eastAsiaTheme="majorEastAsia" w:cstheme="majorEastAsia"/>
                <w:sz w:val="18"/>
                <w:szCs w:val="18"/>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3.其他</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18"/>
                <w:szCs w:val="18"/>
                <w:lang w:val="en-US" w:eastAsia="zh-CN"/>
              </w:rPr>
            </w:pPr>
            <w:r>
              <w:rPr>
                <w:rFonts w:hint="eastAsia" w:asciiTheme="majorEastAsia" w:hAnsiTheme="majorEastAsia" w:eastAsiaTheme="majorEastAsia" w:cstheme="majorEastAsia"/>
                <w:sz w:val="18"/>
                <w:szCs w:val="18"/>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18"/>
                <w:szCs w:val="18"/>
                <w:lang w:val="en-US" w:eastAsia="zh-CN"/>
              </w:rPr>
            </w:pPr>
            <w:r>
              <w:rPr>
                <w:rFonts w:hint="eastAsia" w:asciiTheme="majorEastAsia" w:hAnsiTheme="majorEastAsia" w:eastAsiaTheme="majorEastAsia" w:cstheme="majorEastAsia"/>
                <w:sz w:val="18"/>
                <w:szCs w:val="18"/>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18"/>
                <w:szCs w:val="18"/>
                <w:lang w:val="en-US" w:eastAsia="zh-CN"/>
              </w:rPr>
            </w:pPr>
            <w:r>
              <w:rPr>
                <w:rFonts w:hint="eastAsia" w:asciiTheme="majorEastAsia" w:hAnsiTheme="majorEastAsia" w:eastAsiaTheme="majorEastAsia" w:cstheme="majorEastAsia"/>
                <w:sz w:val="18"/>
                <w:szCs w:val="18"/>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18"/>
                <w:szCs w:val="18"/>
                <w:lang w:val="en-US" w:eastAsia="zh-CN"/>
              </w:rPr>
            </w:pPr>
            <w:r>
              <w:rPr>
                <w:rFonts w:hint="eastAsia" w:asciiTheme="majorEastAsia" w:hAnsiTheme="majorEastAsia" w:eastAsiaTheme="majorEastAsia" w:cstheme="majorEastAsia"/>
                <w:sz w:val="18"/>
                <w:szCs w:val="18"/>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18"/>
                <w:szCs w:val="18"/>
                <w:lang w:val="en-US" w:eastAsia="zh-CN"/>
              </w:rPr>
            </w:pPr>
            <w:r>
              <w:rPr>
                <w:rFonts w:hint="eastAsia" w:asciiTheme="majorEastAsia" w:hAnsiTheme="majorEastAsia" w:eastAsiaTheme="majorEastAsia" w:cstheme="majorEastAsia"/>
                <w:sz w:val="18"/>
                <w:szCs w:val="18"/>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18"/>
                <w:szCs w:val="18"/>
                <w:lang w:val="en-US" w:eastAsia="zh-CN"/>
              </w:rPr>
            </w:pPr>
            <w:r>
              <w:rPr>
                <w:rFonts w:hint="eastAsia" w:asciiTheme="majorEastAsia" w:hAnsiTheme="majorEastAsia" w:eastAsiaTheme="majorEastAsia" w:cstheme="majorEastAsia"/>
                <w:sz w:val="18"/>
                <w:szCs w:val="18"/>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18"/>
                <w:szCs w:val="18"/>
                <w:lang w:val="en-US" w:eastAsia="zh-CN"/>
              </w:rPr>
            </w:pPr>
            <w:r>
              <w:rPr>
                <w:rFonts w:hint="eastAsia" w:asciiTheme="majorEastAsia" w:hAnsiTheme="majorEastAsia" w:eastAsiaTheme="majorEastAsia" w:cstheme="majorEastAsia"/>
                <w:sz w:val="18"/>
                <w:szCs w:val="18"/>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3414"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（七）总计</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18"/>
                <w:szCs w:val="18"/>
                <w:lang w:val="en-US" w:eastAsia="zh-CN"/>
              </w:rPr>
            </w:pPr>
            <w:r>
              <w:rPr>
                <w:rFonts w:hint="eastAsia" w:asciiTheme="majorEastAsia" w:hAnsiTheme="majorEastAsia" w:eastAsiaTheme="majorEastAsia" w:cstheme="majorEastAsia"/>
                <w:sz w:val="18"/>
                <w:szCs w:val="18"/>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18"/>
                <w:szCs w:val="18"/>
                <w:lang w:val="en-US" w:eastAsia="zh-CN"/>
              </w:rPr>
            </w:pPr>
            <w:r>
              <w:rPr>
                <w:rFonts w:hint="eastAsia" w:asciiTheme="majorEastAsia" w:hAnsiTheme="majorEastAsia" w:eastAsiaTheme="majorEastAsia" w:cstheme="majorEastAsia"/>
                <w:sz w:val="18"/>
                <w:szCs w:val="18"/>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18"/>
                <w:szCs w:val="18"/>
                <w:lang w:val="en-US" w:eastAsia="zh-CN"/>
              </w:rPr>
            </w:pPr>
            <w:r>
              <w:rPr>
                <w:rFonts w:hint="eastAsia" w:asciiTheme="majorEastAsia" w:hAnsiTheme="majorEastAsia" w:eastAsiaTheme="majorEastAsia" w:cstheme="majorEastAsia"/>
                <w:sz w:val="18"/>
                <w:szCs w:val="18"/>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18"/>
                <w:szCs w:val="18"/>
                <w:lang w:val="en-US" w:eastAsia="zh-CN"/>
              </w:rPr>
            </w:pPr>
            <w:r>
              <w:rPr>
                <w:rFonts w:hint="eastAsia" w:asciiTheme="majorEastAsia" w:hAnsiTheme="majorEastAsia" w:eastAsiaTheme="majorEastAsia" w:cstheme="majorEastAsia"/>
                <w:sz w:val="18"/>
                <w:szCs w:val="18"/>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18"/>
                <w:szCs w:val="18"/>
                <w:lang w:val="en-US" w:eastAsia="zh-CN"/>
              </w:rPr>
            </w:pPr>
            <w:r>
              <w:rPr>
                <w:rFonts w:hint="eastAsia" w:asciiTheme="majorEastAsia" w:hAnsiTheme="majorEastAsia" w:eastAsiaTheme="majorEastAsia" w:cstheme="majorEastAsia"/>
                <w:sz w:val="18"/>
                <w:szCs w:val="18"/>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18"/>
                <w:szCs w:val="18"/>
                <w:lang w:val="en-US" w:eastAsia="zh-CN"/>
              </w:rPr>
            </w:pPr>
            <w:r>
              <w:rPr>
                <w:rFonts w:hint="eastAsia" w:asciiTheme="majorEastAsia" w:hAnsiTheme="majorEastAsia" w:eastAsiaTheme="majorEastAsia" w:cstheme="majorEastAsia"/>
                <w:sz w:val="18"/>
                <w:szCs w:val="18"/>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18"/>
                <w:szCs w:val="18"/>
                <w:lang w:val="en-US" w:eastAsia="zh-CN"/>
              </w:rPr>
            </w:pPr>
            <w:r>
              <w:rPr>
                <w:rFonts w:hint="eastAsia" w:asciiTheme="majorEastAsia" w:hAnsiTheme="majorEastAsia" w:eastAsiaTheme="majorEastAsia" w:cstheme="majorEastAsia"/>
                <w:sz w:val="18"/>
                <w:szCs w:val="18"/>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232"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四、结转下年度继续办理</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18"/>
                <w:szCs w:val="18"/>
                <w:lang w:val="en-US" w:eastAsia="zh-CN"/>
              </w:rPr>
            </w:pPr>
            <w:r>
              <w:rPr>
                <w:rFonts w:hint="eastAsia" w:asciiTheme="majorEastAsia" w:hAnsiTheme="majorEastAsia" w:eastAsiaTheme="majorEastAsia" w:cstheme="majorEastAsia"/>
                <w:sz w:val="18"/>
                <w:szCs w:val="18"/>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18"/>
                <w:szCs w:val="18"/>
                <w:lang w:val="en-US" w:eastAsia="zh-CN"/>
              </w:rPr>
            </w:pPr>
            <w:r>
              <w:rPr>
                <w:rFonts w:hint="eastAsia" w:asciiTheme="majorEastAsia" w:hAnsiTheme="majorEastAsia" w:eastAsiaTheme="majorEastAsia" w:cstheme="majorEastAsia"/>
                <w:sz w:val="18"/>
                <w:szCs w:val="18"/>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18"/>
                <w:szCs w:val="18"/>
                <w:lang w:val="en-US" w:eastAsia="zh-CN"/>
              </w:rPr>
            </w:pPr>
            <w:r>
              <w:rPr>
                <w:rFonts w:hint="eastAsia" w:asciiTheme="majorEastAsia" w:hAnsiTheme="majorEastAsia" w:eastAsiaTheme="majorEastAsia" w:cstheme="majorEastAsia"/>
                <w:sz w:val="18"/>
                <w:szCs w:val="18"/>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18"/>
                <w:szCs w:val="18"/>
                <w:lang w:val="en-US" w:eastAsia="zh-CN"/>
              </w:rPr>
            </w:pPr>
            <w:r>
              <w:rPr>
                <w:rFonts w:hint="eastAsia" w:asciiTheme="majorEastAsia" w:hAnsiTheme="majorEastAsia" w:eastAsiaTheme="majorEastAsia" w:cstheme="majorEastAsia"/>
                <w:sz w:val="18"/>
                <w:szCs w:val="18"/>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18"/>
                <w:szCs w:val="18"/>
                <w:lang w:val="en-US" w:eastAsia="zh-CN"/>
              </w:rPr>
            </w:pPr>
            <w:r>
              <w:rPr>
                <w:rFonts w:hint="eastAsia" w:asciiTheme="majorEastAsia" w:hAnsiTheme="majorEastAsia" w:eastAsiaTheme="majorEastAsia" w:cstheme="majorEastAsia"/>
                <w:sz w:val="18"/>
                <w:szCs w:val="18"/>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18"/>
                <w:szCs w:val="18"/>
                <w:lang w:val="en-US" w:eastAsia="zh-CN"/>
              </w:rPr>
            </w:pPr>
            <w:r>
              <w:rPr>
                <w:rFonts w:hint="eastAsia" w:asciiTheme="majorEastAsia" w:hAnsiTheme="majorEastAsia" w:eastAsiaTheme="majorEastAsia" w:cstheme="majorEastAsia"/>
                <w:sz w:val="18"/>
                <w:szCs w:val="18"/>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Theme="majorEastAsia" w:hAnsiTheme="majorEastAsia" w:eastAsiaTheme="majorEastAsia" w:cstheme="majorEastAsia"/>
                <w:sz w:val="18"/>
                <w:szCs w:val="18"/>
                <w:lang w:val="en-US" w:eastAsia="zh-CN"/>
              </w:rPr>
            </w:pPr>
            <w:r>
              <w:rPr>
                <w:rFonts w:hint="eastAsia" w:asciiTheme="majorEastAsia" w:hAnsiTheme="majorEastAsia" w:eastAsiaTheme="majorEastAsia" w:cstheme="majorEastAsia"/>
                <w:sz w:val="18"/>
                <w:szCs w:val="18"/>
                <w:lang w:val="en-US" w:eastAsia="zh-CN"/>
              </w:rPr>
              <w:t>0</w:t>
            </w:r>
          </w:p>
        </w:tc>
      </w:tr>
    </w:tbl>
    <w:p>
      <w:pPr>
        <w:keepNext w:val="0"/>
        <w:keepLines w:val="0"/>
        <w:pageBreakBefore w:val="0"/>
        <w:widowControl w:val="0"/>
        <w:kinsoku/>
        <w:wordWrap/>
        <w:overflowPunct/>
        <w:topLinePunct w:val="0"/>
        <w:autoSpaceDE/>
        <w:autoSpaceDN/>
        <w:bidi w:val="0"/>
        <w:adjustRightInd/>
        <w:snapToGrid/>
        <w:spacing w:line="520" w:lineRule="exact"/>
        <w:ind w:right="0" w:rightChars="0" w:firstLine="616" w:firstLineChars="200"/>
        <w:textAlignment w:val="auto"/>
        <w:outlineLvl w:val="9"/>
        <w:rPr>
          <w:rFonts w:hint="default" w:ascii="仿宋" w:hAnsi="仿宋" w:eastAsia="仿宋_GB2312" w:cs="仿宋"/>
          <w:b w:val="0"/>
          <w:bCs w:val="0"/>
          <w:color w:val="000000" w:themeColor="text1"/>
          <w:sz w:val="32"/>
          <w:szCs w:val="32"/>
          <w:highlight w:val="none"/>
          <w:lang w:val="en-US" w:eastAsia="zh-CN"/>
          <w14:textFill>
            <w14:solidFill>
              <w14:schemeClr w14:val="tx1"/>
            </w14:solidFill>
          </w14:textFill>
        </w:rPr>
      </w:pPr>
      <w:r>
        <w:rPr>
          <w:rFonts w:hint="eastAsia" w:ascii="黑体" w:hAnsi="黑体" w:eastAsia="黑体" w:cs="黑体"/>
          <w:b w:val="0"/>
          <w:bCs w:val="0"/>
          <w:color w:val="000000" w:themeColor="text1"/>
          <w:spacing w:val="-6"/>
          <w:sz w:val="32"/>
          <w:szCs w:val="32"/>
          <w:highlight w:val="none"/>
          <w:lang w:val="en-US" w:eastAsia="zh-CN"/>
          <w14:textFill>
            <w14:solidFill>
              <w14:schemeClr w14:val="tx1"/>
            </w14:solidFill>
          </w14:textFill>
        </w:rPr>
        <w:t>四、因政府信息公开工作被申请行政复议、提起行政诉讼情况</w:t>
      </w:r>
    </w:p>
    <w:tbl>
      <w:tblPr>
        <w:tblStyle w:val="3"/>
        <w:tblW w:w="946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669"/>
        <w:gridCol w:w="669"/>
        <w:gridCol w:w="669"/>
        <w:gridCol w:w="669"/>
        <w:gridCol w:w="478"/>
        <w:gridCol w:w="669"/>
        <w:gridCol w:w="669"/>
        <w:gridCol w:w="669"/>
        <w:gridCol w:w="669"/>
        <w:gridCol w:w="477"/>
        <w:gridCol w:w="669"/>
        <w:gridCol w:w="668"/>
        <w:gridCol w:w="670"/>
        <w:gridCol w:w="668"/>
        <w:gridCol w:w="47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85" w:hRule="atLeast"/>
          <w:jc w:val="center"/>
        </w:trPr>
        <w:tc>
          <w:tcPr>
            <w:tcW w:w="3154" w:type="dxa"/>
            <w:gridSpan w:val="5"/>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Theme="minorEastAsia" w:hAnsiTheme="minorEastAsia" w:eastAsiaTheme="minorEastAsia" w:cstheme="minorEastAsia"/>
                <w:u w:val="none"/>
              </w:rPr>
            </w:pPr>
            <w:r>
              <w:rPr>
                <w:rFonts w:hint="eastAsia" w:asciiTheme="minorEastAsia" w:hAnsiTheme="minorEastAsia" w:eastAsiaTheme="minorEastAsia" w:cstheme="minorEastAsia"/>
                <w:i w:val="0"/>
                <w:caps w:val="0"/>
                <w:color w:val="333333"/>
                <w:spacing w:val="0"/>
                <w:sz w:val="18"/>
                <w:szCs w:val="18"/>
                <w:u w:val="none"/>
              </w:rPr>
              <w:t>行政复议</w:t>
            </w:r>
          </w:p>
        </w:tc>
        <w:tc>
          <w:tcPr>
            <w:tcW w:w="6306" w:type="dxa"/>
            <w:gridSpan w:val="10"/>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Theme="minorEastAsia" w:hAnsiTheme="minorEastAsia" w:eastAsiaTheme="minorEastAsia" w:cstheme="minorEastAsia"/>
                <w:u w:val="none"/>
              </w:rPr>
            </w:pPr>
            <w:r>
              <w:rPr>
                <w:rFonts w:hint="eastAsia" w:asciiTheme="minorEastAsia" w:hAnsiTheme="minorEastAsia" w:eastAsiaTheme="minorEastAsia" w:cstheme="minorEastAsia"/>
                <w:i w:val="0"/>
                <w:caps w:val="0"/>
                <w:color w:val="333333"/>
                <w:spacing w:val="0"/>
                <w:sz w:val="18"/>
                <w:szCs w:val="18"/>
                <w:u w:val="none"/>
              </w:rPr>
              <w:t>行政诉讼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85" w:hRule="atLeast"/>
          <w:jc w:val="center"/>
        </w:trPr>
        <w:tc>
          <w:tcPr>
            <w:tcW w:w="669" w:type="dxa"/>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Theme="minorEastAsia" w:hAnsiTheme="minorEastAsia" w:eastAsiaTheme="minorEastAsia" w:cstheme="minorEastAsia"/>
                <w:u w:val="none"/>
              </w:rPr>
            </w:pPr>
            <w:r>
              <w:rPr>
                <w:rFonts w:hint="eastAsia" w:asciiTheme="minorEastAsia" w:hAnsiTheme="minorEastAsia" w:eastAsiaTheme="minorEastAsia" w:cstheme="minorEastAsia"/>
                <w:i w:val="0"/>
                <w:caps w:val="0"/>
                <w:color w:val="333333"/>
                <w:spacing w:val="0"/>
                <w:sz w:val="18"/>
                <w:szCs w:val="18"/>
                <w:u w:val="none"/>
              </w:rPr>
              <w:t>结果维持</w:t>
            </w:r>
          </w:p>
        </w:tc>
        <w:tc>
          <w:tcPr>
            <w:tcW w:w="669" w:type="dxa"/>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Theme="minorEastAsia" w:hAnsiTheme="minorEastAsia" w:eastAsiaTheme="minorEastAsia" w:cstheme="minorEastAsia"/>
                <w:u w:val="none"/>
              </w:rPr>
            </w:pPr>
            <w:r>
              <w:rPr>
                <w:rFonts w:hint="eastAsia" w:asciiTheme="minorEastAsia" w:hAnsiTheme="minorEastAsia" w:eastAsiaTheme="minorEastAsia" w:cstheme="minorEastAsia"/>
                <w:i w:val="0"/>
                <w:caps w:val="0"/>
                <w:color w:val="333333"/>
                <w:spacing w:val="0"/>
                <w:sz w:val="18"/>
                <w:szCs w:val="18"/>
                <w:u w:val="none"/>
              </w:rPr>
              <w:t>结果纠正</w:t>
            </w:r>
          </w:p>
        </w:tc>
        <w:tc>
          <w:tcPr>
            <w:tcW w:w="669" w:type="dxa"/>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Theme="minorEastAsia" w:hAnsiTheme="minorEastAsia" w:eastAsiaTheme="minorEastAsia" w:cstheme="minorEastAsia"/>
                <w:u w:val="none"/>
              </w:rPr>
            </w:pPr>
            <w:r>
              <w:rPr>
                <w:rFonts w:hint="eastAsia" w:asciiTheme="minorEastAsia" w:hAnsiTheme="minorEastAsia" w:eastAsiaTheme="minorEastAsia" w:cstheme="minorEastAsia"/>
                <w:i w:val="0"/>
                <w:caps w:val="0"/>
                <w:color w:val="333333"/>
                <w:spacing w:val="0"/>
                <w:sz w:val="18"/>
                <w:szCs w:val="18"/>
                <w:u w:val="none"/>
              </w:rPr>
              <w:t>其他结果</w:t>
            </w:r>
          </w:p>
        </w:tc>
        <w:tc>
          <w:tcPr>
            <w:tcW w:w="669" w:type="dxa"/>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Theme="minorEastAsia" w:hAnsiTheme="minorEastAsia" w:eastAsiaTheme="minorEastAsia" w:cstheme="minorEastAsia"/>
                <w:u w:val="none"/>
              </w:rPr>
            </w:pPr>
            <w:r>
              <w:rPr>
                <w:rFonts w:hint="eastAsia" w:asciiTheme="minorEastAsia" w:hAnsiTheme="minorEastAsia" w:eastAsiaTheme="minorEastAsia" w:cstheme="minorEastAsia"/>
                <w:i w:val="0"/>
                <w:caps w:val="0"/>
                <w:color w:val="333333"/>
                <w:spacing w:val="0"/>
                <w:sz w:val="18"/>
                <w:szCs w:val="18"/>
                <w:u w:val="none"/>
              </w:rPr>
              <w:t>尚未审结</w:t>
            </w:r>
          </w:p>
        </w:tc>
        <w:tc>
          <w:tcPr>
            <w:tcW w:w="478" w:type="dxa"/>
            <w:vMerge w:val="restar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Theme="minorEastAsia" w:hAnsiTheme="minorEastAsia" w:eastAsiaTheme="minorEastAsia" w:cstheme="minorEastAsia"/>
                <w:u w:val="none"/>
              </w:rPr>
            </w:pPr>
            <w:r>
              <w:rPr>
                <w:rFonts w:hint="eastAsia" w:asciiTheme="minorEastAsia" w:hAnsiTheme="minorEastAsia" w:eastAsiaTheme="minorEastAsia" w:cstheme="minorEastAsia"/>
                <w:i w:val="0"/>
                <w:caps w:val="0"/>
                <w:color w:val="333333"/>
                <w:spacing w:val="0"/>
                <w:sz w:val="18"/>
                <w:szCs w:val="18"/>
                <w:u w:val="none"/>
              </w:rPr>
              <w:t>总计</w:t>
            </w:r>
          </w:p>
        </w:tc>
        <w:tc>
          <w:tcPr>
            <w:tcW w:w="3153" w:type="dxa"/>
            <w:gridSpan w:val="5"/>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Theme="minorEastAsia" w:hAnsiTheme="minorEastAsia" w:eastAsiaTheme="minorEastAsia" w:cstheme="minorEastAsia"/>
                <w:u w:val="none"/>
              </w:rPr>
            </w:pPr>
            <w:r>
              <w:rPr>
                <w:rFonts w:hint="eastAsia" w:asciiTheme="minorEastAsia" w:hAnsiTheme="minorEastAsia" w:eastAsiaTheme="minorEastAsia" w:cstheme="minorEastAsia"/>
                <w:i w:val="0"/>
                <w:caps w:val="0"/>
                <w:color w:val="333333"/>
                <w:spacing w:val="0"/>
                <w:sz w:val="18"/>
                <w:szCs w:val="18"/>
                <w:u w:val="none"/>
              </w:rPr>
              <w:t>未经复议直接起诉</w:t>
            </w:r>
          </w:p>
        </w:tc>
        <w:tc>
          <w:tcPr>
            <w:tcW w:w="3153" w:type="dxa"/>
            <w:gridSpan w:val="5"/>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Theme="minorEastAsia" w:hAnsiTheme="minorEastAsia" w:eastAsiaTheme="minorEastAsia" w:cstheme="minorEastAsia"/>
                <w:u w:val="none"/>
              </w:rPr>
            </w:pPr>
            <w:r>
              <w:rPr>
                <w:rFonts w:hint="eastAsia" w:asciiTheme="minorEastAsia" w:hAnsiTheme="minorEastAsia" w:eastAsiaTheme="minorEastAsia" w:cstheme="minorEastAsia"/>
                <w:i w:val="0"/>
                <w:caps w:val="0"/>
                <w:color w:val="333333"/>
                <w:spacing w:val="0"/>
                <w:sz w:val="18"/>
                <w:szCs w:val="18"/>
                <w:u w:val="none"/>
              </w:rPr>
              <w:t>复议后起诉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864" w:hRule="atLeast"/>
          <w:jc w:val="center"/>
        </w:trPr>
        <w:tc>
          <w:tcPr>
            <w:tcW w:w="669"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jc w:val="both"/>
              <w:rPr>
                <w:rFonts w:hint="eastAsia" w:asciiTheme="minorEastAsia" w:hAnsiTheme="minorEastAsia" w:eastAsiaTheme="minorEastAsia" w:cstheme="minorEastAsia"/>
                <w:i w:val="0"/>
                <w:caps w:val="0"/>
                <w:color w:val="333333"/>
                <w:spacing w:val="0"/>
                <w:sz w:val="25"/>
                <w:szCs w:val="25"/>
                <w:u w:val="none"/>
              </w:rPr>
            </w:pPr>
          </w:p>
        </w:tc>
        <w:tc>
          <w:tcPr>
            <w:tcW w:w="669"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jc w:val="both"/>
              <w:rPr>
                <w:rFonts w:hint="eastAsia" w:asciiTheme="minorEastAsia" w:hAnsiTheme="minorEastAsia" w:eastAsiaTheme="minorEastAsia" w:cstheme="minorEastAsia"/>
                <w:i w:val="0"/>
                <w:caps w:val="0"/>
                <w:color w:val="333333"/>
                <w:spacing w:val="0"/>
                <w:sz w:val="25"/>
                <w:szCs w:val="25"/>
                <w:u w:val="none"/>
              </w:rPr>
            </w:pPr>
          </w:p>
        </w:tc>
        <w:tc>
          <w:tcPr>
            <w:tcW w:w="669"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jc w:val="both"/>
              <w:rPr>
                <w:rFonts w:hint="eastAsia" w:asciiTheme="minorEastAsia" w:hAnsiTheme="minorEastAsia" w:eastAsiaTheme="minorEastAsia" w:cstheme="minorEastAsia"/>
                <w:i w:val="0"/>
                <w:caps w:val="0"/>
                <w:color w:val="333333"/>
                <w:spacing w:val="0"/>
                <w:sz w:val="25"/>
                <w:szCs w:val="25"/>
                <w:u w:val="none"/>
              </w:rPr>
            </w:pPr>
          </w:p>
        </w:tc>
        <w:tc>
          <w:tcPr>
            <w:tcW w:w="669"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jc w:val="both"/>
              <w:rPr>
                <w:rFonts w:hint="eastAsia" w:asciiTheme="minorEastAsia" w:hAnsiTheme="minorEastAsia" w:eastAsiaTheme="minorEastAsia" w:cstheme="minorEastAsia"/>
                <w:i w:val="0"/>
                <w:caps w:val="0"/>
                <w:color w:val="333333"/>
                <w:spacing w:val="0"/>
                <w:sz w:val="25"/>
                <w:szCs w:val="25"/>
                <w:u w:val="none"/>
              </w:rPr>
            </w:pPr>
          </w:p>
        </w:tc>
        <w:tc>
          <w:tcPr>
            <w:tcW w:w="478" w:type="dxa"/>
            <w:vMerge w:val="continue"/>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jc w:val="both"/>
              <w:rPr>
                <w:rFonts w:hint="eastAsia" w:asciiTheme="minorEastAsia" w:hAnsiTheme="minorEastAsia" w:eastAsiaTheme="minorEastAsia" w:cstheme="minorEastAsia"/>
                <w:i w:val="0"/>
                <w:caps w:val="0"/>
                <w:color w:val="333333"/>
                <w:spacing w:val="0"/>
                <w:sz w:val="25"/>
                <w:szCs w:val="25"/>
                <w:u w:val="none"/>
              </w:rPr>
            </w:pPr>
          </w:p>
        </w:tc>
        <w:tc>
          <w:tcPr>
            <w:tcW w:w="669"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Theme="minorEastAsia" w:hAnsiTheme="minorEastAsia" w:eastAsiaTheme="minorEastAsia" w:cstheme="minorEastAsia"/>
                <w:u w:val="none"/>
              </w:rPr>
            </w:pPr>
            <w:r>
              <w:rPr>
                <w:rFonts w:hint="eastAsia" w:asciiTheme="minorEastAsia" w:hAnsiTheme="minorEastAsia" w:eastAsiaTheme="minorEastAsia" w:cstheme="minorEastAsia"/>
                <w:i w:val="0"/>
                <w:caps w:val="0"/>
                <w:color w:val="333333"/>
                <w:spacing w:val="0"/>
                <w:sz w:val="18"/>
                <w:szCs w:val="18"/>
                <w:u w:val="none"/>
              </w:rPr>
              <w:t>结果维持</w:t>
            </w:r>
          </w:p>
        </w:tc>
        <w:tc>
          <w:tcPr>
            <w:tcW w:w="669"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Theme="minorEastAsia" w:hAnsiTheme="minorEastAsia" w:eastAsiaTheme="minorEastAsia" w:cstheme="minorEastAsia"/>
                <w:u w:val="none"/>
              </w:rPr>
            </w:pPr>
            <w:r>
              <w:rPr>
                <w:rFonts w:hint="eastAsia" w:asciiTheme="minorEastAsia" w:hAnsiTheme="minorEastAsia" w:eastAsiaTheme="minorEastAsia" w:cstheme="minorEastAsia"/>
                <w:i w:val="0"/>
                <w:caps w:val="0"/>
                <w:color w:val="333333"/>
                <w:spacing w:val="0"/>
                <w:sz w:val="18"/>
                <w:szCs w:val="18"/>
                <w:u w:val="none"/>
              </w:rPr>
              <w:t>结果纠正</w:t>
            </w:r>
          </w:p>
        </w:tc>
        <w:tc>
          <w:tcPr>
            <w:tcW w:w="669"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Theme="minorEastAsia" w:hAnsiTheme="minorEastAsia" w:eastAsiaTheme="minorEastAsia" w:cstheme="minorEastAsia"/>
                <w:u w:val="none"/>
              </w:rPr>
            </w:pPr>
            <w:r>
              <w:rPr>
                <w:rFonts w:hint="eastAsia" w:asciiTheme="minorEastAsia" w:hAnsiTheme="minorEastAsia" w:eastAsiaTheme="minorEastAsia" w:cstheme="minorEastAsia"/>
                <w:i w:val="0"/>
                <w:caps w:val="0"/>
                <w:color w:val="333333"/>
                <w:spacing w:val="0"/>
                <w:sz w:val="18"/>
                <w:szCs w:val="18"/>
                <w:u w:val="none"/>
              </w:rPr>
              <w:t>其他结果</w:t>
            </w:r>
          </w:p>
        </w:tc>
        <w:tc>
          <w:tcPr>
            <w:tcW w:w="669"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Theme="minorEastAsia" w:hAnsiTheme="minorEastAsia" w:eastAsiaTheme="minorEastAsia" w:cstheme="minorEastAsia"/>
                <w:u w:val="none"/>
              </w:rPr>
            </w:pPr>
            <w:r>
              <w:rPr>
                <w:rFonts w:hint="eastAsia" w:asciiTheme="minorEastAsia" w:hAnsiTheme="minorEastAsia" w:eastAsiaTheme="minorEastAsia" w:cstheme="minorEastAsia"/>
                <w:i w:val="0"/>
                <w:caps w:val="0"/>
                <w:color w:val="333333"/>
                <w:spacing w:val="0"/>
                <w:sz w:val="18"/>
                <w:szCs w:val="18"/>
                <w:u w:val="none"/>
              </w:rPr>
              <w:t>尚未审结</w:t>
            </w:r>
          </w:p>
        </w:tc>
        <w:tc>
          <w:tcPr>
            <w:tcW w:w="477"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Theme="minorEastAsia" w:hAnsiTheme="minorEastAsia" w:eastAsiaTheme="minorEastAsia" w:cstheme="minorEastAsia"/>
                <w:u w:val="none"/>
              </w:rPr>
            </w:pPr>
            <w:r>
              <w:rPr>
                <w:rFonts w:hint="eastAsia" w:asciiTheme="minorEastAsia" w:hAnsiTheme="minorEastAsia" w:eastAsiaTheme="minorEastAsia" w:cstheme="minorEastAsia"/>
                <w:i w:val="0"/>
                <w:caps w:val="0"/>
                <w:color w:val="333333"/>
                <w:spacing w:val="0"/>
                <w:sz w:val="18"/>
                <w:szCs w:val="18"/>
                <w:u w:val="none"/>
              </w:rPr>
              <w:t>总计</w:t>
            </w:r>
          </w:p>
        </w:tc>
        <w:tc>
          <w:tcPr>
            <w:tcW w:w="669"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Theme="minorEastAsia" w:hAnsiTheme="minorEastAsia" w:eastAsiaTheme="minorEastAsia" w:cstheme="minorEastAsia"/>
                <w:u w:val="none"/>
              </w:rPr>
            </w:pPr>
            <w:r>
              <w:rPr>
                <w:rFonts w:hint="eastAsia" w:asciiTheme="minorEastAsia" w:hAnsiTheme="minorEastAsia" w:eastAsiaTheme="minorEastAsia" w:cstheme="minorEastAsia"/>
                <w:i w:val="0"/>
                <w:caps w:val="0"/>
                <w:color w:val="333333"/>
                <w:spacing w:val="0"/>
                <w:sz w:val="18"/>
                <w:szCs w:val="18"/>
                <w:u w:val="none"/>
              </w:rPr>
              <w:t>结果维持</w:t>
            </w:r>
          </w:p>
        </w:tc>
        <w:tc>
          <w:tcPr>
            <w:tcW w:w="668"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Theme="minorEastAsia" w:hAnsiTheme="minorEastAsia" w:eastAsiaTheme="minorEastAsia" w:cstheme="minorEastAsia"/>
                <w:u w:val="none"/>
              </w:rPr>
            </w:pPr>
            <w:r>
              <w:rPr>
                <w:rFonts w:hint="eastAsia" w:asciiTheme="minorEastAsia" w:hAnsiTheme="minorEastAsia" w:eastAsiaTheme="minorEastAsia" w:cstheme="minorEastAsia"/>
                <w:i w:val="0"/>
                <w:caps w:val="0"/>
                <w:color w:val="333333"/>
                <w:spacing w:val="0"/>
                <w:sz w:val="18"/>
                <w:szCs w:val="18"/>
                <w:u w:val="none"/>
              </w:rPr>
              <w:t>结果纠正</w:t>
            </w:r>
          </w:p>
        </w:tc>
        <w:tc>
          <w:tcPr>
            <w:tcW w:w="67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Theme="minorEastAsia" w:hAnsiTheme="minorEastAsia" w:eastAsiaTheme="minorEastAsia" w:cstheme="minorEastAsia"/>
                <w:u w:val="none"/>
              </w:rPr>
            </w:pPr>
            <w:r>
              <w:rPr>
                <w:rFonts w:hint="eastAsia" w:asciiTheme="minorEastAsia" w:hAnsiTheme="minorEastAsia" w:eastAsiaTheme="minorEastAsia" w:cstheme="minorEastAsia"/>
                <w:i w:val="0"/>
                <w:caps w:val="0"/>
                <w:color w:val="333333"/>
                <w:spacing w:val="0"/>
                <w:sz w:val="18"/>
                <w:szCs w:val="18"/>
                <w:u w:val="none"/>
              </w:rPr>
              <w:t>其他结果</w:t>
            </w:r>
          </w:p>
        </w:tc>
        <w:tc>
          <w:tcPr>
            <w:tcW w:w="668"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Theme="minorEastAsia" w:hAnsiTheme="minorEastAsia" w:eastAsiaTheme="minorEastAsia" w:cstheme="minorEastAsia"/>
                <w:u w:val="none"/>
              </w:rPr>
            </w:pPr>
            <w:r>
              <w:rPr>
                <w:rFonts w:hint="eastAsia" w:asciiTheme="minorEastAsia" w:hAnsiTheme="minorEastAsia" w:eastAsiaTheme="minorEastAsia" w:cstheme="minorEastAsia"/>
                <w:i w:val="0"/>
                <w:caps w:val="0"/>
                <w:color w:val="333333"/>
                <w:spacing w:val="0"/>
                <w:sz w:val="18"/>
                <w:szCs w:val="18"/>
                <w:u w:val="none"/>
              </w:rPr>
              <w:t>尚未审结</w:t>
            </w:r>
          </w:p>
        </w:tc>
        <w:tc>
          <w:tcPr>
            <w:tcW w:w="478"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Theme="minorEastAsia" w:hAnsiTheme="minorEastAsia" w:eastAsiaTheme="minorEastAsia" w:cstheme="minorEastAsia"/>
                <w:u w:val="none"/>
              </w:rPr>
            </w:pPr>
            <w:r>
              <w:rPr>
                <w:rFonts w:hint="eastAsia" w:asciiTheme="minorEastAsia" w:hAnsiTheme="minorEastAsia" w:eastAsiaTheme="minorEastAsia" w:cstheme="minorEastAsia"/>
                <w:i w:val="0"/>
                <w:caps w:val="0"/>
                <w:color w:val="333333"/>
                <w:spacing w:val="0"/>
                <w:sz w:val="18"/>
                <w:szCs w:val="18"/>
                <w:u w:val="none"/>
              </w:rPr>
              <w:t>总计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892" w:hRule="atLeast"/>
          <w:jc w:val="center"/>
        </w:trPr>
        <w:tc>
          <w:tcPr>
            <w:tcW w:w="669"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center"/>
              <w:rPr>
                <w:rFonts w:hint="eastAsia" w:asciiTheme="minorEastAsia" w:hAnsiTheme="minorEastAsia" w:eastAsiaTheme="minorEastAsia" w:cstheme="minorEastAsia"/>
                <w:i w:val="0"/>
                <w:caps w:val="0"/>
                <w:color w:val="333333"/>
                <w:spacing w:val="0"/>
                <w:sz w:val="18"/>
                <w:szCs w:val="18"/>
                <w:u w:val="none"/>
                <w:lang w:val="en-US" w:eastAsia="zh-CN"/>
              </w:rPr>
            </w:pPr>
            <w:r>
              <w:rPr>
                <w:rFonts w:hint="eastAsia" w:asciiTheme="minorEastAsia" w:hAnsiTheme="minorEastAsia" w:eastAsiaTheme="minorEastAsia" w:cstheme="minorEastAsia"/>
                <w:i w:val="0"/>
                <w:caps w:val="0"/>
                <w:color w:val="333333"/>
                <w:spacing w:val="0"/>
                <w:sz w:val="18"/>
                <w:szCs w:val="18"/>
                <w:u w:val="none"/>
              </w:rPr>
              <w:t>0</w:t>
            </w:r>
          </w:p>
        </w:tc>
        <w:tc>
          <w:tcPr>
            <w:tcW w:w="669"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center"/>
              <w:rPr>
                <w:rFonts w:hint="eastAsia" w:asciiTheme="minorEastAsia" w:hAnsiTheme="minorEastAsia" w:eastAsiaTheme="minorEastAsia" w:cstheme="minorEastAsia"/>
                <w:i w:val="0"/>
                <w:caps w:val="0"/>
                <w:color w:val="333333"/>
                <w:spacing w:val="0"/>
                <w:sz w:val="18"/>
                <w:szCs w:val="18"/>
                <w:u w:val="none"/>
              </w:rPr>
            </w:pPr>
            <w:r>
              <w:rPr>
                <w:rFonts w:hint="eastAsia" w:asciiTheme="minorEastAsia" w:hAnsiTheme="minorEastAsia" w:eastAsiaTheme="minorEastAsia" w:cstheme="minorEastAsia"/>
                <w:i w:val="0"/>
                <w:caps w:val="0"/>
                <w:color w:val="333333"/>
                <w:spacing w:val="0"/>
                <w:sz w:val="18"/>
                <w:szCs w:val="18"/>
                <w:u w:val="none"/>
              </w:rPr>
              <w:t>0</w:t>
            </w:r>
          </w:p>
        </w:tc>
        <w:tc>
          <w:tcPr>
            <w:tcW w:w="669"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center"/>
              <w:rPr>
                <w:rFonts w:hint="eastAsia" w:asciiTheme="minorEastAsia" w:hAnsiTheme="minorEastAsia" w:eastAsiaTheme="minorEastAsia" w:cstheme="minorEastAsia"/>
                <w:i w:val="0"/>
                <w:caps w:val="0"/>
                <w:color w:val="333333"/>
                <w:spacing w:val="0"/>
                <w:sz w:val="18"/>
                <w:szCs w:val="18"/>
                <w:u w:val="none"/>
              </w:rPr>
            </w:pPr>
            <w:r>
              <w:rPr>
                <w:rFonts w:hint="eastAsia" w:asciiTheme="minorEastAsia" w:hAnsiTheme="minorEastAsia" w:eastAsiaTheme="minorEastAsia" w:cstheme="minorEastAsia"/>
                <w:i w:val="0"/>
                <w:caps w:val="0"/>
                <w:color w:val="333333"/>
                <w:spacing w:val="0"/>
                <w:sz w:val="18"/>
                <w:szCs w:val="18"/>
                <w:u w:val="none"/>
              </w:rPr>
              <w:t>0</w:t>
            </w:r>
          </w:p>
        </w:tc>
        <w:tc>
          <w:tcPr>
            <w:tcW w:w="669"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center"/>
              <w:rPr>
                <w:rFonts w:hint="eastAsia" w:asciiTheme="minorEastAsia" w:hAnsiTheme="minorEastAsia" w:eastAsiaTheme="minorEastAsia" w:cstheme="minorEastAsia"/>
                <w:i w:val="0"/>
                <w:caps w:val="0"/>
                <w:color w:val="333333"/>
                <w:spacing w:val="0"/>
                <w:sz w:val="18"/>
                <w:szCs w:val="18"/>
                <w:u w:val="none"/>
              </w:rPr>
            </w:pPr>
            <w:r>
              <w:rPr>
                <w:rFonts w:hint="eastAsia" w:asciiTheme="minorEastAsia" w:hAnsiTheme="minorEastAsia" w:eastAsiaTheme="minorEastAsia" w:cstheme="minorEastAsia"/>
                <w:i w:val="0"/>
                <w:caps w:val="0"/>
                <w:color w:val="333333"/>
                <w:spacing w:val="0"/>
                <w:sz w:val="18"/>
                <w:szCs w:val="18"/>
                <w:u w:val="none"/>
              </w:rPr>
              <w:t>0</w:t>
            </w:r>
          </w:p>
        </w:tc>
        <w:tc>
          <w:tcPr>
            <w:tcW w:w="478"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Theme="minorEastAsia" w:hAnsiTheme="minorEastAsia" w:eastAsiaTheme="minorEastAsia" w:cstheme="minorEastAsia"/>
                <w:sz w:val="18"/>
                <w:szCs w:val="18"/>
                <w:u w:val="none"/>
              </w:rPr>
            </w:pPr>
            <w:r>
              <w:rPr>
                <w:rFonts w:hint="eastAsia" w:asciiTheme="minorEastAsia" w:hAnsiTheme="minorEastAsia" w:eastAsiaTheme="minorEastAsia" w:cstheme="minorEastAsia"/>
                <w:i w:val="0"/>
                <w:caps w:val="0"/>
                <w:color w:val="333333"/>
                <w:spacing w:val="0"/>
                <w:sz w:val="18"/>
                <w:szCs w:val="18"/>
                <w:u w:val="none"/>
              </w:rPr>
              <w:t>0</w:t>
            </w:r>
          </w:p>
        </w:tc>
        <w:tc>
          <w:tcPr>
            <w:tcW w:w="669"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center"/>
              <w:rPr>
                <w:rFonts w:hint="eastAsia" w:asciiTheme="minorEastAsia" w:hAnsiTheme="minorEastAsia" w:eastAsiaTheme="minorEastAsia" w:cstheme="minorEastAsia"/>
                <w:i w:val="0"/>
                <w:caps w:val="0"/>
                <w:color w:val="333333"/>
                <w:spacing w:val="0"/>
                <w:sz w:val="18"/>
                <w:szCs w:val="18"/>
                <w:u w:val="none"/>
              </w:rPr>
            </w:pPr>
            <w:r>
              <w:rPr>
                <w:rFonts w:hint="eastAsia" w:asciiTheme="minorEastAsia" w:hAnsiTheme="minorEastAsia" w:eastAsiaTheme="minorEastAsia" w:cstheme="minorEastAsia"/>
                <w:i w:val="0"/>
                <w:caps w:val="0"/>
                <w:color w:val="333333"/>
                <w:spacing w:val="0"/>
                <w:sz w:val="18"/>
                <w:szCs w:val="18"/>
                <w:u w:val="none"/>
              </w:rPr>
              <w:t>0</w:t>
            </w:r>
          </w:p>
        </w:tc>
        <w:tc>
          <w:tcPr>
            <w:tcW w:w="669"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center"/>
              <w:rPr>
                <w:rFonts w:hint="eastAsia" w:asciiTheme="minorEastAsia" w:hAnsiTheme="minorEastAsia" w:eastAsiaTheme="minorEastAsia" w:cstheme="minorEastAsia"/>
                <w:i w:val="0"/>
                <w:caps w:val="0"/>
                <w:color w:val="333333"/>
                <w:spacing w:val="0"/>
                <w:sz w:val="18"/>
                <w:szCs w:val="18"/>
                <w:u w:val="none"/>
              </w:rPr>
            </w:pPr>
            <w:r>
              <w:rPr>
                <w:rFonts w:hint="eastAsia" w:asciiTheme="minorEastAsia" w:hAnsiTheme="minorEastAsia" w:eastAsiaTheme="minorEastAsia" w:cstheme="minorEastAsia"/>
                <w:i w:val="0"/>
                <w:caps w:val="0"/>
                <w:color w:val="333333"/>
                <w:spacing w:val="0"/>
                <w:sz w:val="18"/>
                <w:szCs w:val="18"/>
                <w:u w:val="none"/>
              </w:rPr>
              <w:t>0</w:t>
            </w:r>
          </w:p>
        </w:tc>
        <w:tc>
          <w:tcPr>
            <w:tcW w:w="669"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center"/>
              <w:rPr>
                <w:rFonts w:hint="eastAsia" w:asciiTheme="minorEastAsia" w:hAnsiTheme="minorEastAsia" w:eastAsiaTheme="minorEastAsia" w:cstheme="minorEastAsia"/>
                <w:i w:val="0"/>
                <w:caps w:val="0"/>
                <w:color w:val="333333"/>
                <w:spacing w:val="0"/>
                <w:sz w:val="18"/>
                <w:szCs w:val="18"/>
                <w:u w:val="none"/>
              </w:rPr>
            </w:pPr>
            <w:r>
              <w:rPr>
                <w:rFonts w:hint="eastAsia" w:asciiTheme="minorEastAsia" w:hAnsiTheme="minorEastAsia" w:eastAsiaTheme="minorEastAsia" w:cstheme="minorEastAsia"/>
                <w:i w:val="0"/>
                <w:caps w:val="0"/>
                <w:color w:val="333333"/>
                <w:spacing w:val="0"/>
                <w:sz w:val="18"/>
                <w:szCs w:val="18"/>
                <w:u w:val="none"/>
              </w:rPr>
              <w:t>0</w:t>
            </w:r>
          </w:p>
        </w:tc>
        <w:tc>
          <w:tcPr>
            <w:tcW w:w="669"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center"/>
              <w:rPr>
                <w:rFonts w:hint="eastAsia" w:asciiTheme="minorEastAsia" w:hAnsiTheme="minorEastAsia" w:eastAsiaTheme="minorEastAsia" w:cstheme="minorEastAsia"/>
                <w:i w:val="0"/>
                <w:caps w:val="0"/>
                <w:color w:val="333333"/>
                <w:spacing w:val="0"/>
                <w:sz w:val="18"/>
                <w:szCs w:val="18"/>
                <w:u w:val="none"/>
              </w:rPr>
            </w:pPr>
            <w:r>
              <w:rPr>
                <w:rFonts w:hint="eastAsia" w:asciiTheme="minorEastAsia" w:hAnsiTheme="minorEastAsia" w:eastAsiaTheme="minorEastAsia" w:cstheme="minorEastAsia"/>
                <w:i w:val="0"/>
                <w:caps w:val="0"/>
                <w:color w:val="333333"/>
                <w:spacing w:val="0"/>
                <w:sz w:val="18"/>
                <w:szCs w:val="18"/>
                <w:u w:val="none"/>
              </w:rPr>
              <w:t>0</w:t>
            </w:r>
          </w:p>
        </w:tc>
        <w:tc>
          <w:tcPr>
            <w:tcW w:w="477"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Theme="minorEastAsia" w:hAnsiTheme="minorEastAsia" w:eastAsiaTheme="minorEastAsia" w:cstheme="minorEastAsia"/>
                <w:sz w:val="18"/>
                <w:szCs w:val="18"/>
                <w:u w:val="none"/>
              </w:rPr>
            </w:pPr>
            <w:r>
              <w:rPr>
                <w:rFonts w:hint="eastAsia" w:asciiTheme="minorEastAsia" w:hAnsiTheme="minorEastAsia" w:eastAsiaTheme="minorEastAsia" w:cstheme="minorEastAsia"/>
                <w:i w:val="0"/>
                <w:caps w:val="0"/>
                <w:color w:val="333333"/>
                <w:spacing w:val="0"/>
                <w:sz w:val="18"/>
                <w:szCs w:val="18"/>
                <w:u w:val="none"/>
              </w:rPr>
              <w:t>0</w:t>
            </w:r>
          </w:p>
        </w:tc>
        <w:tc>
          <w:tcPr>
            <w:tcW w:w="669"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center"/>
              <w:rPr>
                <w:rFonts w:hint="eastAsia" w:asciiTheme="minorEastAsia" w:hAnsiTheme="minorEastAsia" w:eastAsiaTheme="minorEastAsia" w:cstheme="minorEastAsia"/>
                <w:i w:val="0"/>
                <w:caps w:val="0"/>
                <w:color w:val="333333"/>
                <w:spacing w:val="0"/>
                <w:sz w:val="18"/>
                <w:szCs w:val="18"/>
                <w:u w:val="none"/>
              </w:rPr>
            </w:pPr>
            <w:r>
              <w:rPr>
                <w:rFonts w:hint="eastAsia" w:asciiTheme="minorEastAsia" w:hAnsiTheme="minorEastAsia" w:eastAsiaTheme="minorEastAsia" w:cstheme="minorEastAsia"/>
                <w:i w:val="0"/>
                <w:caps w:val="0"/>
                <w:color w:val="333333"/>
                <w:spacing w:val="0"/>
                <w:sz w:val="18"/>
                <w:szCs w:val="18"/>
                <w:u w:val="none"/>
              </w:rPr>
              <w:t>0</w:t>
            </w:r>
          </w:p>
        </w:tc>
        <w:tc>
          <w:tcPr>
            <w:tcW w:w="668"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center"/>
              <w:rPr>
                <w:rFonts w:hint="eastAsia" w:asciiTheme="minorEastAsia" w:hAnsiTheme="minorEastAsia" w:eastAsiaTheme="minorEastAsia" w:cstheme="minorEastAsia"/>
                <w:i w:val="0"/>
                <w:caps w:val="0"/>
                <w:color w:val="333333"/>
                <w:spacing w:val="0"/>
                <w:sz w:val="18"/>
                <w:szCs w:val="18"/>
                <w:u w:val="none"/>
              </w:rPr>
            </w:pPr>
            <w:r>
              <w:rPr>
                <w:rFonts w:hint="eastAsia" w:asciiTheme="minorEastAsia" w:hAnsiTheme="minorEastAsia" w:eastAsiaTheme="minorEastAsia" w:cstheme="minorEastAsia"/>
                <w:i w:val="0"/>
                <w:caps w:val="0"/>
                <w:color w:val="333333"/>
                <w:spacing w:val="0"/>
                <w:sz w:val="18"/>
                <w:szCs w:val="18"/>
                <w:u w:val="none"/>
              </w:rPr>
              <w:t>0</w:t>
            </w:r>
          </w:p>
        </w:tc>
        <w:tc>
          <w:tcPr>
            <w:tcW w:w="670"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center"/>
              <w:rPr>
                <w:rFonts w:hint="eastAsia" w:asciiTheme="minorEastAsia" w:hAnsiTheme="minorEastAsia" w:eastAsiaTheme="minorEastAsia" w:cstheme="minorEastAsia"/>
                <w:i w:val="0"/>
                <w:caps w:val="0"/>
                <w:color w:val="333333"/>
                <w:spacing w:val="0"/>
                <w:sz w:val="18"/>
                <w:szCs w:val="18"/>
                <w:u w:val="none"/>
              </w:rPr>
            </w:pPr>
            <w:r>
              <w:rPr>
                <w:rFonts w:hint="eastAsia" w:asciiTheme="minorEastAsia" w:hAnsiTheme="minorEastAsia" w:eastAsiaTheme="minorEastAsia" w:cstheme="minorEastAsia"/>
                <w:i w:val="0"/>
                <w:caps w:val="0"/>
                <w:color w:val="333333"/>
                <w:spacing w:val="0"/>
                <w:sz w:val="18"/>
                <w:szCs w:val="18"/>
                <w:u w:val="none"/>
              </w:rPr>
              <w:t>0</w:t>
            </w:r>
          </w:p>
        </w:tc>
        <w:tc>
          <w:tcPr>
            <w:tcW w:w="668"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center"/>
              <w:rPr>
                <w:rFonts w:hint="eastAsia" w:asciiTheme="minorEastAsia" w:hAnsiTheme="minorEastAsia" w:eastAsiaTheme="minorEastAsia" w:cstheme="minorEastAsia"/>
                <w:i w:val="0"/>
                <w:caps w:val="0"/>
                <w:color w:val="333333"/>
                <w:spacing w:val="0"/>
                <w:sz w:val="18"/>
                <w:szCs w:val="18"/>
                <w:u w:val="none"/>
              </w:rPr>
            </w:pPr>
            <w:r>
              <w:rPr>
                <w:rFonts w:hint="eastAsia" w:asciiTheme="minorEastAsia" w:hAnsiTheme="minorEastAsia" w:eastAsiaTheme="minorEastAsia" w:cstheme="minorEastAsia"/>
                <w:i w:val="0"/>
                <w:caps w:val="0"/>
                <w:color w:val="333333"/>
                <w:spacing w:val="0"/>
                <w:sz w:val="18"/>
                <w:szCs w:val="18"/>
                <w:u w:val="none"/>
              </w:rPr>
              <w:t>0</w:t>
            </w:r>
          </w:p>
        </w:tc>
        <w:tc>
          <w:tcPr>
            <w:tcW w:w="478"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Theme="minorEastAsia" w:hAnsiTheme="minorEastAsia" w:eastAsiaTheme="minorEastAsia" w:cstheme="minorEastAsia"/>
                <w:sz w:val="18"/>
                <w:szCs w:val="18"/>
                <w:u w:val="none"/>
              </w:rPr>
            </w:pPr>
            <w:r>
              <w:rPr>
                <w:rFonts w:hint="eastAsia" w:asciiTheme="minorEastAsia" w:hAnsiTheme="minorEastAsia" w:eastAsiaTheme="minorEastAsia" w:cstheme="minorEastAsia"/>
                <w:i w:val="0"/>
                <w:caps w:val="0"/>
                <w:color w:val="333333"/>
                <w:spacing w:val="0"/>
                <w:sz w:val="18"/>
                <w:szCs w:val="18"/>
                <w:u w:val="none"/>
              </w:rPr>
              <w:t>0</w:t>
            </w:r>
          </w:p>
        </w:tc>
      </w:tr>
    </w:tbl>
    <w:p>
      <w:pPr>
        <w:keepNext w:val="0"/>
        <w:keepLines w:val="0"/>
        <w:pageBreakBefore w:val="0"/>
        <w:widowControl/>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五、政府信息公开工作存在的主要问题及改进情况</w:t>
      </w:r>
    </w:p>
    <w:p>
      <w:pPr>
        <w:keepNext w:val="0"/>
        <w:keepLines w:val="0"/>
        <w:pageBreakBefore w:val="0"/>
        <w:widowControl/>
        <w:numPr>
          <w:ilvl w:val="0"/>
          <w:numId w:val="0"/>
        </w:numPr>
        <w:kinsoku/>
        <w:wordWrap/>
        <w:overflowPunct/>
        <w:topLinePunct w:val="0"/>
        <w:autoSpaceDE/>
        <w:autoSpaceDN/>
        <w:bidi w:val="0"/>
        <w:adjustRightInd/>
        <w:snapToGrid/>
        <w:spacing w:line="520" w:lineRule="exact"/>
        <w:ind w:firstLine="643" w:firstLineChars="200"/>
        <w:jc w:val="both"/>
        <w:textAlignment w:val="auto"/>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（一）存在的问题</w:t>
      </w:r>
    </w:p>
    <w:p>
      <w:pPr>
        <w:keepNext w:val="0"/>
        <w:keepLines w:val="0"/>
        <w:pageBreakBefore w:val="0"/>
        <w:widowControl/>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i w:val="0"/>
          <w:iCs w:val="0"/>
          <w:caps w:val="0"/>
          <w:color w:val="000000"/>
          <w:spacing w:val="0"/>
          <w:sz w:val="32"/>
          <w:szCs w:val="32"/>
          <w:shd w:val="clear" w:fill="FFFFFF"/>
        </w:rPr>
      </w:pPr>
      <w:r>
        <w:rPr>
          <w:rFonts w:hint="eastAsia" w:ascii="仿宋_GB2312" w:hAnsi="仿宋_GB2312" w:eastAsia="仿宋_GB2312" w:cs="仿宋_GB2312"/>
          <w:i w:val="0"/>
          <w:iCs w:val="0"/>
          <w:caps w:val="0"/>
          <w:color w:val="000000"/>
          <w:spacing w:val="0"/>
          <w:sz w:val="32"/>
          <w:szCs w:val="32"/>
          <w:shd w:val="clear" w:fill="FFFFFF"/>
        </w:rPr>
        <w:t>一是认识不够深化。存在对此项工作认识不够、重视程度不够、主动性不够，公开不够及时、公开数量有限等现象，没有形成政府信息公开工作的正常化、制度化，影响全</w:t>
      </w:r>
      <w:r>
        <w:rPr>
          <w:rFonts w:hint="eastAsia" w:ascii="仿宋_GB2312" w:hAnsi="仿宋_GB2312" w:eastAsia="仿宋_GB2312" w:cs="仿宋_GB2312"/>
          <w:i w:val="0"/>
          <w:iCs w:val="0"/>
          <w:caps w:val="0"/>
          <w:color w:val="000000"/>
          <w:spacing w:val="0"/>
          <w:sz w:val="32"/>
          <w:szCs w:val="32"/>
          <w:shd w:val="clear" w:fill="FFFFFF"/>
          <w:lang w:eastAsia="zh-CN"/>
        </w:rPr>
        <w:t>街道</w:t>
      </w:r>
      <w:r>
        <w:rPr>
          <w:rFonts w:hint="eastAsia" w:ascii="仿宋_GB2312" w:hAnsi="仿宋_GB2312" w:eastAsia="仿宋_GB2312" w:cs="仿宋_GB2312"/>
          <w:i w:val="0"/>
          <w:iCs w:val="0"/>
          <w:caps w:val="0"/>
          <w:color w:val="000000"/>
          <w:spacing w:val="0"/>
          <w:sz w:val="32"/>
          <w:szCs w:val="32"/>
          <w:shd w:val="clear" w:fill="FFFFFF"/>
        </w:rPr>
        <w:t>政府信息公开工作的全面开展。二是政府信息公开信息量还不够大，覆盖面还不够广，还没有完全满足社会和公众多方面的需求。三是社会认知度不够高。对政府信息公开的宣传工作还不够到位，群众对政府信息公开的了解和认知还不够全面深入。</w:t>
      </w:r>
    </w:p>
    <w:p>
      <w:pPr>
        <w:keepNext w:val="0"/>
        <w:keepLines w:val="0"/>
        <w:pageBreakBefore w:val="0"/>
        <w:widowControl/>
        <w:numPr>
          <w:ilvl w:val="0"/>
          <w:numId w:val="0"/>
        </w:numPr>
        <w:kinsoku/>
        <w:wordWrap/>
        <w:overflowPunct/>
        <w:topLinePunct w:val="0"/>
        <w:autoSpaceDE/>
        <w:autoSpaceDN/>
        <w:bidi w:val="0"/>
        <w:adjustRightInd/>
        <w:snapToGrid/>
        <w:spacing w:line="520" w:lineRule="exact"/>
        <w:ind w:firstLine="643" w:firstLineChars="200"/>
        <w:jc w:val="both"/>
        <w:textAlignment w:val="auto"/>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（二）改进情况</w:t>
      </w:r>
    </w:p>
    <w:p>
      <w:pPr>
        <w:keepNext w:val="0"/>
        <w:keepLines w:val="0"/>
        <w:pageBreakBefore w:val="0"/>
        <w:widowControl/>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政府信息公开工作是政府与公众之间沟通的重要桥梁，也是提高政府公信力的重要手段。</w:t>
      </w:r>
      <w:r>
        <w:rPr>
          <w:rFonts w:hint="eastAsia" w:ascii="仿宋_GB2312" w:hAnsi="仿宋_GB2312" w:eastAsia="仿宋_GB2312" w:cs="仿宋_GB2312"/>
          <w:i w:val="0"/>
          <w:iCs w:val="0"/>
          <w:caps w:val="0"/>
          <w:color w:val="000000"/>
          <w:spacing w:val="0"/>
          <w:sz w:val="32"/>
          <w:szCs w:val="32"/>
          <w:shd w:val="clear" w:fill="FFFFFF"/>
        </w:rPr>
        <w:t>在今后工作中，我</w:t>
      </w:r>
      <w:r>
        <w:rPr>
          <w:rFonts w:hint="eastAsia" w:ascii="仿宋_GB2312" w:hAnsi="仿宋_GB2312" w:eastAsia="仿宋_GB2312" w:cs="仿宋_GB2312"/>
          <w:i w:val="0"/>
          <w:iCs w:val="0"/>
          <w:caps w:val="0"/>
          <w:color w:val="000000"/>
          <w:spacing w:val="0"/>
          <w:sz w:val="32"/>
          <w:szCs w:val="32"/>
          <w:shd w:val="clear" w:fill="FFFFFF"/>
          <w:lang w:eastAsia="zh-CN"/>
        </w:rPr>
        <w:t>街道</w:t>
      </w:r>
      <w:r>
        <w:rPr>
          <w:rFonts w:hint="eastAsia" w:ascii="仿宋_GB2312" w:hAnsi="仿宋_GB2312" w:eastAsia="仿宋_GB2312" w:cs="仿宋_GB2312"/>
          <w:i w:val="0"/>
          <w:iCs w:val="0"/>
          <w:caps w:val="0"/>
          <w:color w:val="000000"/>
          <w:spacing w:val="0"/>
          <w:sz w:val="32"/>
          <w:szCs w:val="32"/>
          <w:shd w:val="clear" w:fill="FFFFFF"/>
        </w:rPr>
        <w:t>将继续总结往年</w:t>
      </w:r>
      <w:r>
        <w:rPr>
          <w:rFonts w:hint="eastAsia" w:ascii="仿宋_GB2312" w:hAnsi="仿宋_GB2312" w:eastAsia="仿宋_GB2312" w:cs="仿宋_GB2312"/>
          <w:i w:val="0"/>
          <w:iCs w:val="0"/>
          <w:caps w:val="0"/>
          <w:color w:val="000000"/>
          <w:spacing w:val="0"/>
          <w:sz w:val="32"/>
          <w:szCs w:val="32"/>
          <w:shd w:val="clear" w:fill="FFFFFF"/>
          <w:lang w:eastAsia="zh-CN"/>
        </w:rPr>
        <w:t>的</w:t>
      </w:r>
      <w:r>
        <w:rPr>
          <w:rFonts w:hint="eastAsia" w:ascii="仿宋_GB2312" w:hAnsi="仿宋_GB2312" w:eastAsia="仿宋_GB2312" w:cs="仿宋_GB2312"/>
          <w:i w:val="0"/>
          <w:iCs w:val="0"/>
          <w:caps w:val="0"/>
          <w:color w:val="000000"/>
          <w:spacing w:val="0"/>
          <w:sz w:val="32"/>
          <w:szCs w:val="32"/>
          <w:shd w:val="clear" w:fill="FFFFFF"/>
        </w:rPr>
        <w:t>工作经验，持续推进我</w:t>
      </w:r>
      <w:r>
        <w:rPr>
          <w:rFonts w:hint="eastAsia" w:ascii="仿宋_GB2312" w:hAnsi="仿宋_GB2312" w:eastAsia="仿宋_GB2312" w:cs="仿宋_GB2312"/>
          <w:i w:val="0"/>
          <w:iCs w:val="0"/>
          <w:caps w:val="0"/>
          <w:color w:val="000000"/>
          <w:spacing w:val="0"/>
          <w:sz w:val="32"/>
          <w:szCs w:val="32"/>
          <w:shd w:val="clear" w:fill="FFFFFF"/>
          <w:lang w:eastAsia="zh-CN"/>
        </w:rPr>
        <w:t>街道</w:t>
      </w:r>
      <w:r>
        <w:rPr>
          <w:rFonts w:hint="eastAsia" w:ascii="仿宋_GB2312" w:hAnsi="仿宋_GB2312" w:eastAsia="仿宋_GB2312" w:cs="仿宋_GB2312"/>
          <w:i w:val="0"/>
          <w:iCs w:val="0"/>
          <w:caps w:val="0"/>
          <w:color w:val="000000"/>
          <w:spacing w:val="0"/>
          <w:sz w:val="32"/>
          <w:szCs w:val="32"/>
          <w:shd w:val="clear" w:fill="FFFFFF"/>
        </w:rPr>
        <w:t>政府信息公开工作。一是突出重点，增强政府信息公开的实效性。深化对政府信息公开工作重要性的认识，切实增强做好此项工作的能力和水平，突出问题导向，积极做好解读回应工作</w:t>
      </w:r>
      <w:r>
        <w:rPr>
          <w:rFonts w:hint="eastAsia" w:ascii="仿宋_GB2312" w:hAnsi="仿宋_GB2312" w:eastAsia="仿宋_GB2312" w:cs="仿宋_GB2312"/>
          <w:i w:val="0"/>
          <w:iCs w:val="0"/>
          <w:caps w:val="0"/>
          <w:color w:val="000000"/>
          <w:spacing w:val="0"/>
          <w:sz w:val="32"/>
          <w:szCs w:val="32"/>
          <w:shd w:val="clear" w:fill="FFFFFF"/>
          <w:lang w:eastAsia="zh-CN"/>
        </w:rPr>
        <w:t>。</w:t>
      </w:r>
      <w:r>
        <w:rPr>
          <w:rFonts w:hint="eastAsia" w:ascii="仿宋_GB2312" w:hAnsi="仿宋_GB2312" w:eastAsia="仿宋_GB2312" w:cs="仿宋_GB2312"/>
          <w:i w:val="0"/>
          <w:iCs w:val="0"/>
          <w:caps w:val="0"/>
          <w:color w:val="000000"/>
          <w:spacing w:val="0"/>
          <w:sz w:val="32"/>
          <w:szCs w:val="32"/>
          <w:shd w:val="clear" w:fill="FFFFFF"/>
        </w:rPr>
        <w:t>二是完善机制，增强政府信息公开的长效性。不断规范政府信息主动公开工作机制、政府信息发布、保密、审查制度等</w:t>
      </w:r>
      <w:r>
        <w:rPr>
          <w:rFonts w:hint="eastAsia" w:ascii="仿宋_GB2312" w:hAnsi="仿宋_GB2312" w:eastAsia="仿宋_GB2312" w:cs="仿宋_GB2312"/>
          <w:i w:val="0"/>
          <w:iCs w:val="0"/>
          <w:caps w:val="0"/>
          <w:color w:val="000000"/>
          <w:spacing w:val="0"/>
          <w:sz w:val="32"/>
          <w:szCs w:val="32"/>
          <w:shd w:val="clear" w:fill="FFFFFF"/>
          <w:lang w:eastAsia="zh-CN"/>
        </w:rPr>
        <w:t>。</w:t>
      </w:r>
      <w:r>
        <w:rPr>
          <w:rFonts w:hint="eastAsia" w:ascii="仿宋_GB2312" w:hAnsi="仿宋_GB2312" w:eastAsia="仿宋_GB2312" w:cs="仿宋_GB2312"/>
          <w:i w:val="0"/>
          <w:iCs w:val="0"/>
          <w:caps w:val="0"/>
          <w:color w:val="000000"/>
          <w:spacing w:val="0"/>
          <w:sz w:val="32"/>
          <w:szCs w:val="32"/>
          <w:shd w:val="clear" w:fill="FFFFFF"/>
        </w:rPr>
        <w:t>三是拓宽渠道，增强政府信息公开的广泛性。积极拓展使用监督电话、政府热线等新的公开形式，提高政务公开的普及性和便民性。坚持把主动公</w:t>
      </w:r>
      <w:bookmarkStart w:id="0" w:name="_GoBack"/>
      <w:bookmarkEnd w:id="0"/>
      <w:r>
        <w:rPr>
          <w:rFonts w:hint="eastAsia" w:ascii="仿宋_GB2312" w:hAnsi="仿宋_GB2312" w:eastAsia="仿宋_GB2312" w:cs="仿宋_GB2312"/>
          <w:i w:val="0"/>
          <w:iCs w:val="0"/>
          <w:caps w:val="0"/>
          <w:color w:val="000000"/>
          <w:spacing w:val="0"/>
          <w:sz w:val="32"/>
          <w:szCs w:val="32"/>
          <w:shd w:val="clear" w:fill="FFFFFF"/>
        </w:rPr>
        <w:t>开作为一项常态工作，进一步规范信息制作、发布流程。</w:t>
      </w:r>
      <w:r>
        <w:rPr>
          <w:rFonts w:ascii="仿宋_GB2312" w:hAnsi="宋体" w:eastAsia="仿宋_GB2312" w:cs="仿宋_GB2312"/>
          <w:i w:val="0"/>
          <w:iCs w:val="0"/>
          <w:caps w:val="0"/>
          <w:color w:val="000000"/>
          <w:spacing w:val="0"/>
          <w:sz w:val="32"/>
          <w:szCs w:val="32"/>
          <w:shd w:val="clear" w:fill="FFFFFF"/>
        </w:rPr>
        <w:t>同时，做好监督反馈。对履职不力人员追究责任，考核结果作为年终评优评先的重要依据。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leftChars="0" w:right="0" w:rightChars="0" w:firstLine="800" w:firstLineChars="250"/>
        <w:jc w:val="both"/>
        <w:textAlignment w:val="auto"/>
        <w:outlineLvl w:val="9"/>
        <w:rPr>
          <w:rFonts w:hint="eastAsia" w:ascii="黑体" w:hAnsi="黑体" w:eastAsia="黑体" w:cs="黑体"/>
          <w:b w:val="0"/>
          <w:bCs w:val="0"/>
          <w:i w:val="0"/>
          <w:caps w:val="0"/>
          <w:color w:val="000000" w:themeColor="text1"/>
          <w:spacing w:val="0"/>
          <w:sz w:val="32"/>
          <w:szCs w:val="32"/>
          <w:u w:val="none"/>
          <w14:textFill>
            <w14:solidFill>
              <w14:schemeClr w14:val="tx1"/>
            </w14:solidFill>
          </w14:textFill>
        </w:rPr>
      </w:pPr>
      <w:r>
        <w:rPr>
          <w:rFonts w:hint="eastAsia" w:ascii="黑体" w:hAnsi="黑体" w:eastAsia="黑体" w:cs="黑体"/>
          <w:b w:val="0"/>
          <w:bCs w:val="0"/>
          <w:i w:val="0"/>
          <w:caps w:val="0"/>
          <w:color w:val="000000" w:themeColor="text1"/>
          <w:spacing w:val="0"/>
          <w:sz w:val="32"/>
          <w:szCs w:val="32"/>
          <w:u w:val="none"/>
          <w:shd w:val="clear" w:fill="FFFFFF"/>
          <w14:textFill>
            <w14:solidFill>
              <w14:schemeClr w14:val="tx1"/>
            </w14:solidFill>
          </w14:textFill>
        </w:rPr>
        <w:t>六、其他需要报告的事项</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按照《国务院办公厅关于印发〈政府信息公开信息处理费管理办法〉的通知》（国办函〔2020〕109号）规定的按件、按量收费标准，本年度没有产生信息公开处理费。</w:t>
      </w:r>
    </w:p>
    <w:p>
      <w:pPr>
        <w:keepNext w:val="0"/>
        <w:keepLines w:val="0"/>
        <w:pageBreakBefore w:val="0"/>
        <w:kinsoku/>
        <w:wordWrap/>
        <w:overflowPunct/>
        <w:topLinePunct w:val="0"/>
        <w:autoSpaceDE/>
        <w:autoSpaceDN/>
        <w:bidi w:val="0"/>
        <w:adjustRightInd/>
        <w:snapToGrid/>
        <w:spacing w:line="520" w:lineRule="exact"/>
        <w:jc w:val="both"/>
        <w:textAlignment w:val="auto"/>
        <w:rPr>
          <w:rFonts w:hint="eastAsia" w:ascii="黑体" w:hAnsi="黑体" w:eastAsia="黑体" w:cs="黑体"/>
          <w:color w:val="000000" w:themeColor="text1"/>
          <w:sz w:val="24"/>
          <w:szCs w:val="32"/>
          <w14:textFill>
            <w14:solidFill>
              <w14:schemeClr w14:val="tx1"/>
            </w14:solidFill>
          </w14:textFill>
        </w:rPr>
      </w:pPr>
    </w:p>
    <w:p/>
    <w:sectPr>
      <w:pgSz w:w="11906" w:h="16838"/>
      <w:pgMar w:top="1417" w:right="1474" w:bottom="1417" w:left="1474"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UzNjkzMzE0OWNkNTRlODBhZWIwZjFmNDdkM2U3MDYifQ=="/>
  </w:docVars>
  <w:rsids>
    <w:rsidRoot w:val="54867F73"/>
    <w:rsid w:val="029B455E"/>
    <w:rsid w:val="05F81957"/>
    <w:rsid w:val="092473A4"/>
    <w:rsid w:val="0EE40072"/>
    <w:rsid w:val="0EFB6721"/>
    <w:rsid w:val="11C270D3"/>
    <w:rsid w:val="14FB4178"/>
    <w:rsid w:val="1BBC5511"/>
    <w:rsid w:val="1D4F4622"/>
    <w:rsid w:val="1E880EA7"/>
    <w:rsid w:val="1EA426CD"/>
    <w:rsid w:val="266F679F"/>
    <w:rsid w:val="26793842"/>
    <w:rsid w:val="296E7DBD"/>
    <w:rsid w:val="29E31F61"/>
    <w:rsid w:val="35687656"/>
    <w:rsid w:val="4412166E"/>
    <w:rsid w:val="45EE1A68"/>
    <w:rsid w:val="54867F73"/>
    <w:rsid w:val="61984130"/>
    <w:rsid w:val="6389742B"/>
    <w:rsid w:val="687F05EE"/>
    <w:rsid w:val="6F2D1886"/>
    <w:rsid w:val="722F3AB1"/>
    <w:rsid w:val="777C1998"/>
    <w:rsid w:val="79973C31"/>
    <w:rsid w:val="7CCA3477"/>
    <w:rsid w:val="7D0A51C6"/>
    <w:rsid w:val="7FF27D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 w:asciiTheme="minorHAnsi" w:hAnsiTheme="minorHAnsi" w:cstheme="minorBidi"/>
      <w:kern w:val="2"/>
      <w:sz w:val="32"/>
      <w:szCs w:val="3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43</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2023-01-13T03:48:00Z</dcterms:created>
  <dc:creator>Administrator</dc:creator>
  <cp:lastModifiedBy>彭宇枫</cp:lastModifiedBy>
  <dcterms:modified xsi:type="dcterms:W3CDTF">2024-01-15T07:44:41Z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FE0688E89A994CF29965C8215087589B</vt:lpwstr>
  </property>
</Properties>
</file>