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hint="eastAsia" w:ascii="宋体" w:hAnsi="宋体" w:eastAsia="宋体" w:cs="宋体"/>
          <w:i w:val="0"/>
          <w:caps w:val="0"/>
          <w:color w:val="333333"/>
          <w:spacing w:val="0"/>
          <w:sz w:val="40"/>
          <w:szCs w:val="40"/>
        </w:rPr>
      </w:pPr>
      <w:r>
        <w:rPr>
          <w:rFonts w:hint="eastAsia" w:ascii="宋体" w:hAnsi="宋体" w:eastAsia="宋体" w:cs="宋体"/>
          <w:b/>
          <w:i w:val="0"/>
          <w:caps w:val="0"/>
          <w:color w:val="333333"/>
          <w:spacing w:val="0"/>
          <w:sz w:val="40"/>
          <w:szCs w:val="40"/>
          <w:highlight w:val="none"/>
          <w:shd w:val="clear" w:fill="FFFFFF"/>
          <w:lang w:val="en-US" w:eastAsia="zh-CN"/>
        </w:rPr>
        <w:t>大桥街道2</w:t>
      </w:r>
      <w:r>
        <w:rPr>
          <w:rFonts w:hint="eastAsia" w:ascii="宋体" w:hAnsi="宋体" w:eastAsia="宋体" w:cs="宋体"/>
          <w:b/>
          <w:i w:val="0"/>
          <w:caps w:val="0"/>
          <w:color w:val="333333"/>
          <w:spacing w:val="0"/>
          <w:sz w:val="40"/>
          <w:szCs w:val="40"/>
          <w:shd w:val="clear" w:fill="FFFFFF"/>
          <w:lang w:val="en-US" w:eastAsia="zh-CN"/>
        </w:rPr>
        <w:t>020年</w:t>
      </w:r>
      <w:r>
        <w:rPr>
          <w:rFonts w:hint="eastAsia" w:ascii="宋体" w:hAnsi="宋体" w:eastAsia="宋体" w:cs="宋体"/>
          <w:b/>
          <w:i w:val="0"/>
          <w:caps w:val="0"/>
          <w:color w:val="333333"/>
          <w:spacing w:val="0"/>
          <w:sz w:val="40"/>
          <w:szCs w:val="40"/>
          <w:shd w:val="clear" w:fill="FFFFFF"/>
        </w:rPr>
        <w:t>政府信息公开工作年度报告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宋体" w:hAnsi="宋体" w:eastAsia="宋体" w:cs="宋体"/>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宋体" w:hAnsi="宋体" w:eastAsia="宋体" w:cs="宋体"/>
          <w:i w:val="0"/>
          <w:caps w:val="0"/>
          <w:color w:val="333333"/>
          <w:spacing w:val="0"/>
          <w:sz w:val="32"/>
          <w:szCs w:val="32"/>
          <w:highlight w:val="none"/>
          <w:lang w:val="en-US" w:eastAsia="zh-CN"/>
        </w:rPr>
        <w:t>大桥街道</w:t>
      </w:r>
      <w:r>
        <w:rPr>
          <w:rFonts w:hint="eastAsia" w:ascii="宋体" w:hAnsi="宋体" w:eastAsia="宋体" w:cs="宋体"/>
          <w:i w:val="0"/>
          <w:caps w:val="0"/>
          <w:color w:val="333333"/>
          <w:spacing w:val="0"/>
          <w:sz w:val="32"/>
          <w:szCs w:val="32"/>
        </w:rPr>
        <w:t>结合有关统计数据编制。本年度报告中所列数据的统计期限自</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年1月1日起至</w:t>
      </w:r>
      <w:r>
        <w:rPr>
          <w:rFonts w:hint="eastAsia" w:ascii="宋体" w:hAnsi="宋体" w:eastAsia="宋体" w:cs="宋体"/>
          <w:i w:val="0"/>
          <w:caps w:val="0"/>
          <w:color w:val="333333"/>
          <w:spacing w:val="0"/>
          <w:sz w:val="32"/>
          <w:szCs w:val="32"/>
          <w:lang w:val="en-US" w:eastAsia="zh-CN"/>
        </w:rPr>
        <w:t>2020</w:t>
      </w:r>
      <w:r>
        <w:rPr>
          <w:rFonts w:hint="eastAsia" w:ascii="宋体" w:hAnsi="宋体" w:eastAsia="宋体" w:cs="宋体"/>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宋体" w:hAnsi="宋体" w:eastAsia="宋体" w:cs="宋体"/>
          <w:i w:val="0"/>
          <w:caps w:val="0"/>
          <w:color w:val="333333"/>
          <w:spacing w:val="0"/>
          <w:sz w:val="32"/>
          <w:szCs w:val="32"/>
          <w:highlight w:val="none"/>
          <w:lang w:val="en-US" w:eastAsia="zh-CN"/>
        </w:rPr>
        <w:t>樟树市</w:t>
      </w:r>
      <w:r>
        <w:rPr>
          <w:rFonts w:hint="eastAsia" w:ascii="宋体" w:hAnsi="宋体" w:eastAsia="宋体" w:cs="宋体"/>
          <w:i w:val="0"/>
          <w:caps w:val="0"/>
          <w:color w:val="333333"/>
          <w:spacing w:val="0"/>
          <w:sz w:val="32"/>
          <w:szCs w:val="32"/>
          <w:highlight w:val="none"/>
        </w:rPr>
        <w:t>人民政府网站（</w:t>
      </w:r>
      <w:r>
        <w:rPr>
          <w:rFonts w:hint="eastAsia" w:ascii="仿宋" w:hAnsi="仿宋" w:eastAsia="仿宋" w:cs="仿宋"/>
          <w:spacing w:val="0"/>
          <w:sz w:val="32"/>
          <w:szCs w:val="32"/>
          <w:highlight w:val="none"/>
        </w:rPr>
        <w:t>http://10.81.120.51/admin.do</w:t>
      </w:r>
      <w:r>
        <w:rPr>
          <w:rFonts w:hint="eastAsia" w:ascii="宋体" w:hAnsi="宋体" w:eastAsia="宋体" w:cs="宋体"/>
          <w:i w:val="0"/>
          <w:caps w:val="0"/>
          <w:color w:val="333333"/>
          <w:spacing w:val="0"/>
          <w:sz w:val="32"/>
          <w:szCs w:val="32"/>
          <w:highlight w:val="none"/>
        </w:rPr>
        <w:t>）</w:t>
      </w:r>
      <w:r>
        <w:rPr>
          <w:rFonts w:hint="eastAsia" w:ascii="宋体" w:hAnsi="宋体" w:eastAsia="宋体" w:cs="宋体"/>
          <w:i w:val="0"/>
          <w:caps w:val="0"/>
          <w:color w:val="333333"/>
          <w:spacing w:val="0"/>
          <w:sz w:val="32"/>
          <w:szCs w:val="32"/>
        </w:rPr>
        <w:t>下载。如对本报告有任何疑问，请与大桥街道党政办公室联系（地址：</w:t>
      </w:r>
      <w:r>
        <w:rPr>
          <w:rFonts w:hint="eastAsia" w:ascii="宋体" w:hAnsi="宋体" w:eastAsia="宋体" w:cs="宋体"/>
          <w:i w:val="0"/>
          <w:caps w:val="0"/>
          <w:color w:val="333333"/>
          <w:spacing w:val="0"/>
          <w:sz w:val="32"/>
          <w:szCs w:val="32"/>
          <w:lang w:eastAsia="zh-CN"/>
        </w:rPr>
        <w:t>大桥</w:t>
      </w:r>
      <w:r>
        <w:rPr>
          <w:rFonts w:hint="eastAsia" w:ascii="宋体" w:hAnsi="宋体" w:eastAsia="宋体" w:cs="宋体"/>
          <w:i w:val="0"/>
          <w:caps w:val="0"/>
          <w:color w:val="333333"/>
          <w:spacing w:val="0"/>
          <w:sz w:val="32"/>
          <w:szCs w:val="32"/>
        </w:rPr>
        <w:t>街道办事处，电话：7160418</w:t>
      </w:r>
      <w:r>
        <w:rPr>
          <w:rFonts w:hint="eastAsia" w:ascii="宋体" w:hAnsi="宋体" w:eastAsia="宋体" w:cs="宋体"/>
          <w:i w:val="0"/>
          <w:caps w:val="0"/>
          <w:color w:val="333333"/>
          <w:spacing w:val="0"/>
          <w:sz w:val="32"/>
          <w:szCs w:val="32"/>
          <w:lang w:eastAsia="zh-CN"/>
        </w:rPr>
        <w:t>，</w:t>
      </w:r>
      <w:r>
        <w:rPr>
          <w:rFonts w:hint="eastAsia" w:ascii="宋体" w:hAnsi="宋体" w:eastAsia="宋体" w:cs="宋体"/>
          <w:i w:val="0"/>
          <w:caps w:val="0"/>
          <w:color w:val="333333"/>
          <w:spacing w:val="0"/>
          <w:sz w:val="32"/>
          <w:szCs w:val="32"/>
        </w:rPr>
        <w:t>邮编：331200）。</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lang w:eastAsia="zh-CN"/>
        </w:rPr>
        <w:t>一、</w:t>
      </w:r>
      <w:r>
        <w:rPr>
          <w:rFonts w:hint="eastAsia" w:ascii="黑体" w:hAnsi="黑体" w:eastAsia="黑体" w:cs="黑体"/>
          <w:b w:val="0"/>
          <w:bCs/>
          <w:i w:val="0"/>
          <w:caps w:val="0"/>
          <w:color w:val="333333"/>
          <w:spacing w:val="0"/>
          <w:sz w:val="32"/>
          <w:szCs w:val="32"/>
          <w:shd w:val="clear" w:fill="FFFFFF"/>
        </w:rPr>
        <w:t>总体情况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2020</w:t>
      </w:r>
      <w:r>
        <w:rPr>
          <w:rFonts w:hint="eastAsia" w:ascii="宋体" w:hAnsi="宋体" w:eastAsia="宋体" w:cs="宋体"/>
          <w:i w:val="0"/>
          <w:caps w:val="0"/>
          <w:color w:val="333333"/>
          <w:spacing w:val="0"/>
          <w:sz w:val="32"/>
          <w:szCs w:val="32"/>
          <w:highlight w:val="none"/>
          <w:shd w:val="clear" w:fill="FFFFFF"/>
          <w:lang w:val="en-US" w:eastAsia="zh-CN"/>
        </w:rPr>
        <w:t>年大桥街道坚</w:t>
      </w:r>
      <w:r>
        <w:rPr>
          <w:rFonts w:hint="eastAsia" w:ascii="宋体" w:hAnsi="宋体" w:eastAsia="宋体" w:cs="宋体"/>
          <w:i w:val="0"/>
          <w:caps w:val="0"/>
          <w:color w:val="333333"/>
          <w:spacing w:val="0"/>
          <w:sz w:val="32"/>
          <w:szCs w:val="32"/>
          <w:shd w:val="clear" w:fill="FFFFFF"/>
          <w:lang w:val="en-US" w:eastAsia="zh-CN"/>
        </w:rPr>
        <w:t>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紧紧围绕市委、市政府中心工作及社会群众关注关切，着力提升政府信息公开质量，推进拓宽政府信息公开渠道，不断增强政府信息公开实效。</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420" w:leftChars="0" w:right="0" w:rightChars="0"/>
        <w:jc w:val="both"/>
        <w:textAlignment w:val="auto"/>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（一）主动公开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强化政府信息主动公开，2020年我街道在樟树市人民政府网信息公开专栏共发布63条，其中政务动态类信息57条，公开指南类信息1条，预算决算类信息1条，公开机构职能信息1条，公开领导信息2条，发布信息公开年度报告1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420" w:leftChars="0" w:right="0" w:rightChars="0"/>
        <w:jc w:val="both"/>
        <w:textAlignment w:val="auto"/>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（二）依申请公开</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进一步规范依申请公开，建立健全接收、登记、办理、答复等流程，依法保障公民、法人和其他组织获取政府信息，2020年收到依申请件1例。</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420" w:leftChars="0" w:right="0" w:rightChars="0"/>
        <w:jc w:val="both"/>
        <w:textAlignment w:val="auto"/>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（三）政府信息管理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加强政府信息管理，按照“先审查、后公开”和“一事一审”原则做好保密审查，全年无失密泄密事件发生。</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420" w:leftChars="0" w:right="0" w:rightChars="0"/>
        <w:jc w:val="both"/>
        <w:textAlignment w:val="auto"/>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w:t>
      </w:r>
      <w:r>
        <w:rPr>
          <w:rFonts w:hint="eastAsia" w:ascii="楷体" w:hAnsi="楷体" w:eastAsia="楷体" w:cs="楷体"/>
          <w:i w:val="0"/>
          <w:caps w:val="0"/>
          <w:color w:val="333333"/>
          <w:spacing w:val="0"/>
          <w:sz w:val="32"/>
          <w:szCs w:val="32"/>
          <w:shd w:val="clear" w:fill="FFFFFF"/>
          <w:lang w:val="en-US" w:eastAsia="zh-CN"/>
        </w:rPr>
        <w:t>四</w:t>
      </w:r>
      <w:r>
        <w:rPr>
          <w:rFonts w:hint="eastAsia" w:ascii="楷体" w:hAnsi="楷体" w:eastAsia="楷体" w:cs="楷体"/>
          <w:i w:val="0"/>
          <w:caps w:val="0"/>
          <w:color w:val="333333"/>
          <w:spacing w:val="0"/>
          <w:sz w:val="32"/>
          <w:szCs w:val="32"/>
          <w:shd w:val="clear" w:fill="FFFFFF"/>
          <w:lang w:eastAsia="zh-CN"/>
        </w:rPr>
        <w:t>）平台建设</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依托现有政府信息平台，例如政务新媒体、手机APP、两微一端等，准确发布法定主动公开内容。</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420" w:leftChars="0" w:right="0" w:rightChars="0"/>
        <w:jc w:val="both"/>
        <w:textAlignment w:val="auto"/>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（五）监督保障</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rightChars="0" w:firstLine="640" w:firstLineChars="200"/>
        <w:jc w:val="both"/>
        <w:textAlignment w:val="auto"/>
        <w:rPr>
          <w:rFonts w:hint="eastAsia"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lang w:val="en-US" w:eastAsia="zh-CN"/>
        </w:rPr>
        <w:t>强化监督保障机制，建立健全信息发布审核制度，严格落实“先审后发”，确保信息规范准确。依申请公开机制，全面落实监督岗位责任，强化监督保障力度。</w:t>
      </w: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3"/>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本年新制作数量</w:t>
            </w:r>
          </w:p>
        </w:tc>
        <w:tc>
          <w:tcPr>
            <w:tcW w:w="202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本年新公开数量</w:t>
            </w:r>
          </w:p>
        </w:tc>
        <w:tc>
          <w:tcPr>
            <w:tcW w:w="229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规范性文件</w:t>
            </w:r>
          </w:p>
        </w:tc>
        <w:tc>
          <w:tcPr>
            <w:tcW w:w="2460"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行政许可</w:t>
            </w:r>
          </w:p>
        </w:tc>
        <w:tc>
          <w:tcPr>
            <w:tcW w:w="2460"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其他对外管理服务事项</w:t>
            </w:r>
          </w:p>
        </w:tc>
        <w:tc>
          <w:tcPr>
            <w:tcW w:w="2460"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上一年项目数量</w:t>
            </w:r>
          </w:p>
        </w:tc>
        <w:tc>
          <w:tcPr>
            <w:tcW w:w="202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本年增/减</w:t>
            </w:r>
          </w:p>
        </w:tc>
        <w:tc>
          <w:tcPr>
            <w:tcW w:w="229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行政处罚</w:t>
            </w:r>
          </w:p>
        </w:tc>
        <w:tc>
          <w:tcPr>
            <w:tcW w:w="2460"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行政强制</w:t>
            </w:r>
          </w:p>
        </w:tc>
        <w:tc>
          <w:tcPr>
            <w:tcW w:w="2460"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02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2295"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上一年项目数量</w:t>
            </w:r>
          </w:p>
        </w:tc>
        <w:tc>
          <w:tcPr>
            <w:tcW w:w="4320" w:type="dxa"/>
            <w:gridSpan w:val="2"/>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行政事业性收费</w:t>
            </w:r>
          </w:p>
        </w:tc>
        <w:tc>
          <w:tcPr>
            <w:tcW w:w="2460"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4320" w:type="dxa"/>
            <w:gridSpan w:val="2"/>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采购项目数量</w:t>
            </w:r>
          </w:p>
        </w:tc>
        <w:tc>
          <w:tcPr>
            <w:tcW w:w="4320" w:type="dxa"/>
            <w:gridSpan w:val="2"/>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政府集中采购</w:t>
            </w:r>
          </w:p>
        </w:tc>
        <w:tc>
          <w:tcPr>
            <w:tcW w:w="2460"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c>
          <w:tcPr>
            <w:tcW w:w="4320" w:type="dxa"/>
            <w:gridSpan w:val="2"/>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0</w:t>
            </w:r>
          </w:p>
        </w:tc>
      </w:tr>
    </w:tbl>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3"/>
        <w:tblW w:w="4999"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20"/>
        <w:gridCol w:w="945"/>
        <w:gridCol w:w="1996"/>
        <w:gridCol w:w="685"/>
        <w:gridCol w:w="685"/>
        <w:gridCol w:w="685"/>
        <w:gridCol w:w="685"/>
        <w:gridCol w:w="685"/>
        <w:gridCol w:w="465"/>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2132" w:type="pct"/>
            <w:gridSpan w:val="3"/>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（本列数据的勾稽关系为：第一项加第二项之和，等于第三项加第四项之和）</w:t>
            </w:r>
          </w:p>
        </w:tc>
        <w:tc>
          <w:tcPr>
            <w:tcW w:w="2867" w:type="pct"/>
            <w:gridSpan w:val="7"/>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2132" w:type="pct"/>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404" w:type="pct"/>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自然人</w:t>
            </w:r>
          </w:p>
        </w:tc>
        <w:tc>
          <w:tcPr>
            <w:tcW w:w="1880" w:type="pct"/>
            <w:gridSpan w:val="5"/>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法人或其他组织</w:t>
            </w:r>
          </w:p>
        </w:tc>
        <w:tc>
          <w:tcPr>
            <w:tcW w:w="581" w:type="pct"/>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45" w:hRule="atLeast"/>
          <w:tblCellSpacing w:w="0" w:type="dxa"/>
        </w:trPr>
        <w:tc>
          <w:tcPr>
            <w:tcW w:w="2132" w:type="pct"/>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404" w:type="pct"/>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商业企业</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科研机构</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社会公益组织</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法律服务机构</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其他</w:t>
            </w:r>
          </w:p>
        </w:tc>
        <w:tc>
          <w:tcPr>
            <w:tcW w:w="581" w:type="pct"/>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blCellSpacing w:w="0" w:type="dxa"/>
        </w:trPr>
        <w:tc>
          <w:tcPr>
            <w:tcW w:w="2132" w:type="pct"/>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一、本年新收政府信息公开申请数量</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lang w:eastAsia="zh-CN"/>
              </w:rPr>
            </w:pPr>
            <w:r>
              <w:rPr>
                <w:rFonts w:hint="eastAsia" w:ascii="仿宋" w:hAnsi="仿宋" w:eastAsia="仿宋" w:cs="仿宋"/>
                <w:sz w:val="24"/>
                <w:lang w:val="en-US" w:eastAsia="zh-CN"/>
              </w:rPr>
              <w:t>1</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lang w:eastAsia="zh-CN"/>
              </w:rPr>
            </w:pPr>
            <w:r>
              <w:rPr>
                <w:rFonts w:hint="eastAsia" w:ascii="仿宋" w:hAnsi="仿宋" w:eastAsia="仿宋" w:cs="仿宋"/>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blCellSpacing w:w="0" w:type="dxa"/>
        </w:trPr>
        <w:tc>
          <w:tcPr>
            <w:tcW w:w="2132" w:type="pct"/>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二、上年结转政府信息公开申请数量</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三、本年度办理结果</w:t>
            </w:r>
          </w:p>
        </w:tc>
        <w:tc>
          <w:tcPr>
            <w:tcW w:w="1720" w:type="pct"/>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（一）予以公开</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lang w:eastAsia="zh-CN"/>
              </w:rPr>
            </w:pPr>
            <w:r>
              <w:rPr>
                <w:rFonts w:hint="eastAsia" w:ascii="仿宋" w:hAnsi="仿宋" w:eastAsia="仿宋" w:cs="仿宋"/>
                <w:sz w:val="24"/>
              </w:rPr>
              <w:t> </w:t>
            </w:r>
            <w:r>
              <w:rPr>
                <w:rFonts w:hint="eastAsia" w:ascii="仿宋" w:hAnsi="仿宋" w:eastAsia="仿宋" w:cs="仿宋"/>
                <w:sz w:val="24"/>
                <w:lang w:val="en-US" w:eastAsia="zh-CN"/>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lang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720" w:type="pct"/>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（二）部分公开（区分处理的，只计这一情形，不计其他情形）</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（三）不予公开</w:t>
            </w: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1.属于国家秘密</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2.其他法律行政法规禁止公开</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3.危及“三安全一稳定”</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4.保护第三方合法权益</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5.属于三类内部事务信息</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6.属于四类过程性信息</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7.属于行政执法案卷</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8.属于行政查询事项</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（四）无法提供</w:t>
            </w: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1.本机关不掌握相关政府信息</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2.没有现成信息需要另行制作</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top"/>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3.补正后申请内容仍不明确</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（五）不予处理</w:t>
            </w: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1.信访举报投诉类申请</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2.重复申请</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3.要求提供公开出版物</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4.无正当理由大量反复申请</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549" w:type="pct"/>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17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5.要求行政机关确认或重新出具已获取信息</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720" w:type="pct"/>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（六）其他处理</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sz w:val="24"/>
                <w:lang w:val="en-US" w:eastAsia="zh-CN"/>
              </w:rPr>
              <w:t>1</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lang w:eastAsia="zh-CN"/>
              </w:rPr>
            </w:pPr>
            <w:r>
              <w:rPr>
                <w:rFonts w:hint="eastAsia" w:ascii="仿宋" w:hAnsi="仿宋" w:eastAsia="仿宋" w:cs="仿宋"/>
                <w:sz w:val="24"/>
              </w:rPr>
              <w:t> </w:t>
            </w:r>
            <w:r>
              <w:rPr>
                <w:rFonts w:hint="eastAsia" w:ascii="仿宋" w:hAnsi="仿宋" w:eastAsia="仿宋" w:cs="仿宋"/>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412" w:type="pct"/>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p>
        </w:tc>
        <w:tc>
          <w:tcPr>
            <w:tcW w:w="1720" w:type="pct"/>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（七）总计</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lang w:eastAsia="zh-CN"/>
              </w:rPr>
            </w:pPr>
            <w:r>
              <w:rPr>
                <w:rFonts w:hint="eastAsia" w:ascii="仿宋" w:hAnsi="仿宋" w:eastAsia="仿宋" w:cs="仿宋"/>
                <w:sz w:val="24"/>
              </w:rPr>
              <w:t> </w:t>
            </w:r>
            <w:r>
              <w:rPr>
                <w:rFonts w:hint="eastAsia" w:ascii="仿宋" w:hAnsi="仿宋" w:eastAsia="仿宋" w:cs="仿宋"/>
                <w:sz w:val="24"/>
                <w:lang w:val="en-US" w:eastAsia="zh-CN"/>
              </w:rPr>
              <w:t>1</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lang w:eastAsia="zh-CN"/>
              </w:rPr>
            </w:pPr>
            <w:r>
              <w:rPr>
                <w:rFonts w:hint="eastAsia" w:ascii="仿宋" w:hAnsi="仿宋" w:eastAsia="仿宋" w:cs="仿宋"/>
                <w:sz w:val="24"/>
              </w:rPr>
              <w:t xml:space="preserve">  </w:t>
            </w:r>
            <w:r>
              <w:rPr>
                <w:rFonts w:hint="eastAsia" w:ascii="仿宋" w:hAnsi="仿宋" w:eastAsia="仿宋" w:cs="仿宋"/>
                <w:sz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blCellSpacing w:w="0" w:type="dxa"/>
        </w:trPr>
        <w:tc>
          <w:tcPr>
            <w:tcW w:w="2132" w:type="pct"/>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四、结转下年度继续办理</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404"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c>
          <w:tcPr>
            <w:tcW w:w="260"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w:t>
            </w:r>
          </w:p>
        </w:tc>
        <w:tc>
          <w:tcPr>
            <w:tcW w:w="581" w:type="pct"/>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24"/>
              </w:rPr>
            </w:pPr>
            <w:r>
              <w:rPr>
                <w:rFonts w:hint="eastAsia" w:ascii="仿宋" w:hAnsi="仿宋" w:eastAsia="仿宋" w:cs="仿宋"/>
                <w:sz w:val="24"/>
              </w:rPr>
              <w:t>  0</w:t>
            </w:r>
          </w:p>
        </w:tc>
      </w:tr>
    </w:tbl>
    <w:p>
      <w:pPr>
        <w:keepNext w:val="0"/>
        <w:keepLines w:val="0"/>
        <w:pageBreakBefore w:val="0"/>
        <w:kinsoku/>
        <w:wordWrap/>
        <w:overflowPunct/>
        <w:topLinePunct w:val="0"/>
        <w:autoSpaceDE/>
        <w:autoSpaceDN/>
        <w:bidi w:val="0"/>
        <w:adjustRightInd/>
        <w:snapToGrid/>
        <w:spacing w:line="540" w:lineRule="exact"/>
        <w:ind w:left="640"/>
        <w:textAlignment w:val="auto"/>
        <w:rPr>
          <w:rFonts w:ascii="仿宋" w:hAnsi="仿宋" w:eastAsia="仿宋" w:cs="仿宋"/>
        </w:rPr>
      </w:pPr>
    </w:p>
    <w:p>
      <w:pPr>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p>
        </w:tc>
        <w:tc>
          <w:tcPr>
            <w:tcW w:w="568"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keepNext w:val="0"/>
              <w:keepLines w:val="0"/>
              <w:pageBreakBefore w:val="0"/>
              <w:kinsoku/>
              <w:wordWrap/>
              <w:overflowPunct/>
              <w:topLinePunct w:val="0"/>
              <w:autoSpaceDE/>
              <w:autoSpaceDN/>
              <w:bidi w:val="0"/>
              <w:adjustRightInd/>
              <w:snapToGrid/>
              <w:spacing w:line="540" w:lineRule="exact"/>
              <w:jc w:val="center"/>
              <w:textAlignment w:val="auto"/>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shd w:val="clear" w:color="auto" w:fill="auto"/>
          </w:tcPr>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仿宋" w:hAnsi="仿宋" w:eastAsia="仿宋" w:cs="仿宋"/>
                <w:sz w:val="24"/>
                <w:lang w:val="en-US"/>
              </w:rPr>
            </w:pPr>
            <w:r>
              <w:rPr>
                <w:rFonts w:hint="eastAsia" w:ascii="仿宋" w:hAnsi="仿宋" w:eastAsia="仿宋" w:cs="仿宋"/>
                <w:sz w:val="24"/>
                <w:lang w:val="en-US" w:eastAsia="zh-CN"/>
              </w:rPr>
              <w:t>0</w:t>
            </w:r>
          </w:p>
        </w:tc>
        <w:tc>
          <w:tcPr>
            <w:tcW w:w="568" w:type="dxa"/>
            <w:shd w:val="clear" w:color="auto" w:fill="auto"/>
          </w:tcPr>
          <w:p>
            <w:pPr>
              <w:keepNext w:val="0"/>
              <w:keepLines w:val="0"/>
              <w:pageBreakBefore w:val="0"/>
              <w:kinsoku/>
              <w:wordWrap/>
              <w:overflowPunct/>
              <w:topLinePunct w:val="0"/>
              <w:autoSpaceDE/>
              <w:autoSpaceDN/>
              <w:bidi w:val="0"/>
              <w:adjustRightInd/>
              <w:snapToGrid/>
              <w:spacing w:line="540" w:lineRule="exact"/>
              <w:jc w:val="center"/>
              <w:textAlignment w:val="auto"/>
              <w:rPr>
                <w:rFonts w:hint="default" w:ascii="仿宋" w:hAnsi="仿宋" w:eastAsia="仿宋" w:cs="仿宋"/>
                <w:sz w:val="24"/>
                <w:lang w:val="en-US"/>
              </w:rPr>
            </w:pPr>
            <w:r>
              <w:rPr>
                <w:rFonts w:hint="eastAsia" w:ascii="仿宋" w:hAnsi="仿宋" w:eastAsia="仿宋" w:cs="仿宋"/>
                <w:sz w:val="24"/>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6" w:beforeAutospacing="0" w:after="0" w:afterAutospacing="0" w:line="540" w:lineRule="exact"/>
        <w:ind w:left="0" w:right="0" w:firstLine="420"/>
        <w:jc w:val="both"/>
        <w:textAlignment w:val="auto"/>
        <w:rPr>
          <w:rFonts w:hint="eastAsia" w:ascii="仿宋" w:hAnsi="仿宋" w:eastAsia="仿宋" w:cs="仿宋"/>
          <w:sz w:val="32"/>
          <w:szCs w:val="32"/>
        </w:rPr>
      </w:pPr>
      <w:r>
        <w:rPr>
          <w:rFonts w:hint="eastAsia" w:ascii="仿宋" w:hAnsi="仿宋" w:eastAsia="仿宋" w:cs="仿宋"/>
          <w:sz w:val="32"/>
          <w:szCs w:val="32"/>
        </w:rPr>
        <w:t>2020年，我街道政务信息公开工作虽然取得了一定进展，但离市委、市政府和人民群众的要求还有一定的差距。一是政务信息公开</w:t>
      </w:r>
      <w:r>
        <w:rPr>
          <w:rFonts w:hint="eastAsia" w:ascii="仿宋" w:hAnsi="仿宋" w:eastAsia="仿宋" w:cs="仿宋"/>
          <w:spacing w:val="0"/>
          <w:sz w:val="32"/>
          <w:szCs w:val="32"/>
        </w:rPr>
        <w:t>队伍建设</w:t>
      </w:r>
      <w:r>
        <w:rPr>
          <w:rFonts w:hint="eastAsia" w:ascii="仿宋" w:hAnsi="仿宋" w:eastAsia="仿宋" w:cs="仿宋"/>
          <w:sz w:val="32"/>
          <w:szCs w:val="32"/>
        </w:rPr>
        <w:t>力度有待进一步加大；</w:t>
      </w:r>
      <w:r>
        <w:rPr>
          <w:rFonts w:hint="eastAsia" w:ascii="仿宋" w:hAnsi="仿宋" w:eastAsia="仿宋" w:cs="仿宋"/>
          <w:spacing w:val="0"/>
          <w:sz w:val="32"/>
          <w:szCs w:val="32"/>
        </w:rPr>
        <w:t>二是需要继续加强与社会各界的沟通；三</w:t>
      </w:r>
      <w:r>
        <w:rPr>
          <w:rFonts w:hint="eastAsia" w:ascii="仿宋" w:hAnsi="仿宋" w:eastAsia="仿宋" w:cs="仿宋"/>
          <w:sz w:val="32"/>
          <w:szCs w:val="32"/>
        </w:rPr>
        <w:t>是</w:t>
      </w:r>
      <w:r>
        <w:rPr>
          <w:rFonts w:hint="eastAsia" w:ascii="仿宋" w:hAnsi="仿宋" w:eastAsia="仿宋" w:cs="仿宋"/>
          <w:spacing w:val="0"/>
          <w:sz w:val="32"/>
          <w:szCs w:val="32"/>
        </w:rPr>
        <w:t>政务公开的内容、数量上需要进一步做好层层把关的工作。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6" w:beforeAutospacing="0" w:after="0" w:afterAutospacing="0" w:line="540" w:lineRule="exact"/>
        <w:ind w:left="0" w:right="0" w:firstLine="360"/>
        <w:jc w:val="both"/>
        <w:textAlignment w:val="auto"/>
        <w:rPr>
          <w:rFonts w:hint="eastAsia" w:ascii="仿宋" w:hAnsi="仿宋" w:eastAsia="仿宋" w:cs="仿宋"/>
          <w:sz w:val="32"/>
          <w:szCs w:val="32"/>
        </w:rPr>
      </w:pPr>
      <w:r>
        <w:rPr>
          <w:rFonts w:hint="eastAsia" w:ascii="仿宋" w:hAnsi="仿宋" w:eastAsia="仿宋" w:cs="仿宋"/>
          <w:sz w:val="32"/>
          <w:szCs w:val="32"/>
        </w:rPr>
        <w:t>为此，我街道采取以下改进措施：一是加大信息公开力度。进一步完善信息公开制度，强化信息公开的责任意识、大局意识、服务意识，确保政务信息公开工作及时、准确。二是更好地接受社会公众对信息公开情况的监督。三是大力宣传教育活动，增强群众对政务信息公开工作的认知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0" w:right="0" w:firstLine="420"/>
        <w:jc w:val="both"/>
        <w:textAlignment w:val="auto"/>
        <w:rPr>
          <w:rFonts w:hint="eastAsia"/>
          <w:sz w:val="32"/>
          <w:szCs w:val="32"/>
          <w:lang w:eastAsia="zh-CN"/>
        </w:rPr>
      </w:pPr>
      <w:r>
        <w:rPr>
          <w:rFonts w:ascii="仿宋" w:hAnsi="仿宋" w:eastAsia="仿宋" w:cs="仿宋"/>
          <w:i w:val="0"/>
          <w:iCs w:val="0"/>
          <w:caps w:val="0"/>
          <w:color w:val="000000"/>
          <w:spacing w:val="0"/>
          <w:sz w:val="32"/>
          <w:szCs w:val="32"/>
          <w:shd w:val="clear" w:fill="FFFFFF"/>
        </w:rPr>
        <w:t>20</w:t>
      </w:r>
      <w:r>
        <w:rPr>
          <w:rFonts w:hint="eastAsia" w:ascii="仿宋" w:hAnsi="仿宋" w:eastAsia="仿宋" w:cs="仿宋"/>
          <w:i w:val="0"/>
          <w:iCs w:val="0"/>
          <w:caps w:val="0"/>
          <w:color w:val="000000"/>
          <w:spacing w:val="0"/>
          <w:sz w:val="32"/>
          <w:szCs w:val="32"/>
          <w:shd w:val="clear" w:fill="FFFFFF"/>
          <w:lang w:val="en-US" w:eastAsia="zh-CN"/>
        </w:rPr>
        <w:t>20</w:t>
      </w:r>
      <w:bookmarkStart w:id="0" w:name="_GoBack"/>
      <w:bookmarkEnd w:id="0"/>
      <w:r>
        <w:rPr>
          <w:rFonts w:ascii="仿宋" w:hAnsi="仿宋" w:eastAsia="仿宋" w:cs="仿宋"/>
          <w:i w:val="0"/>
          <w:iCs w:val="0"/>
          <w:caps w:val="0"/>
          <w:color w:val="000000"/>
          <w:spacing w:val="0"/>
          <w:sz w:val="32"/>
          <w:szCs w:val="32"/>
          <w:shd w:val="clear" w:fill="FFFFFF"/>
        </w:rPr>
        <w:t>年度，本机关无收取信息处理费情况。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ZDY0YzVjNzZlODVhYjM1N2Q5NDFmM2IyOGQ0MDcifQ=="/>
  </w:docVars>
  <w:rsids>
    <w:rsidRoot w:val="00000000"/>
    <w:rsid w:val="072F4BA5"/>
    <w:rsid w:val="0BEA2435"/>
    <w:rsid w:val="0F42566A"/>
    <w:rsid w:val="0FE32618"/>
    <w:rsid w:val="1292145E"/>
    <w:rsid w:val="17534F7D"/>
    <w:rsid w:val="1B931963"/>
    <w:rsid w:val="1F107B5E"/>
    <w:rsid w:val="23B06487"/>
    <w:rsid w:val="2480713E"/>
    <w:rsid w:val="519D4381"/>
    <w:rsid w:val="566E50F8"/>
    <w:rsid w:val="56857A37"/>
    <w:rsid w:val="5FCE6A83"/>
    <w:rsid w:val="6BFD1D20"/>
    <w:rsid w:val="6C640705"/>
    <w:rsid w:val="6EB526D3"/>
    <w:rsid w:val="6EC41F3F"/>
    <w:rsid w:val="74B1072E"/>
    <w:rsid w:val="7B440FF1"/>
    <w:rsid w:val="7D7C7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2014</Words>
  <Characters>2112</Characters>
  <Lines>0</Lines>
  <Paragraphs>0</Paragraphs>
  <TotalTime>10</TotalTime>
  <ScaleCrop>false</ScaleCrop>
  <LinksUpToDate>false</LinksUpToDate>
  <CharactersWithSpaces>2258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秋天的童话</cp:lastModifiedBy>
  <dcterms:modified xsi:type="dcterms:W3CDTF">2023-01-13T08:06:01Z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814F914DE1D4444386D5839721ECD03F</vt:lpwstr>
  </property>
</Properties>
</file>