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292" w:beforeLines="50" w:line="660" w:lineRule="exact"/>
        <w:jc w:val="center"/>
        <w:textAlignment w:val="auto"/>
        <w:outlineLvl w:val="9"/>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樟树市大桥街道2022年政府信息公开工作</w:t>
      </w:r>
    </w:p>
    <w:p>
      <w:pPr>
        <w:keepNext w:val="0"/>
        <w:keepLines w:val="0"/>
        <w:pageBreakBefore w:val="0"/>
        <w:widowControl w:val="0"/>
        <w:kinsoku/>
        <w:wordWrap/>
        <w:overflowPunct/>
        <w:topLinePunct w:val="0"/>
        <w:autoSpaceDE/>
        <w:autoSpaceDN/>
        <w:bidi w:val="0"/>
        <w:adjustRightInd/>
        <w:snapToGrid/>
        <w:spacing w:after="292" w:afterLines="50" w:line="660" w:lineRule="exact"/>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年度报告</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仿宋" w:hAnsi="仿宋" w:eastAsia="仿宋_GB2312" w:cs="仿宋"/>
          <w:lang w:val="en-US" w:eastAsia="zh-CN"/>
        </w:rPr>
      </w:pPr>
      <w:r>
        <w:rPr>
          <w:rFonts w:hint="eastAsia" w:ascii="仿宋" w:hAnsi="仿宋" w:eastAsia="仿宋_GB2312" w:cs="仿宋"/>
          <w:lang w:val="en-US" w:eastAsia="zh-CN"/>
        </w:rPr>
        <w:t>本报告依据《中华人民共和国政府信息公开条例》（国务院令第711号，以下简称新《条例》）和《国务院办公厅政府信息与政务公开办公室关于政府信息公开工作年度报告有关事项的通知》（国办公开办函〔2019〕60号）要求，由大桥街道结合樟树市人民政府网站、樟树市政府信息公开平台等有关统计数据编制。本年度报告中所列数据的统计期限自2022年1月1日起至2022年12月31日止。全文包括总体情况，行政机关主动公开政府信息情况，行政机关收到和处理政府信息公开申请情况，因政府信息公开工作被申请行政复议、提起行政诉讼情况，政府信息公开工作存在的主要问题及改进情况，其他需要报告的事项共六部分组成。本年度报告的电子版可以从樟树市人民政府网站（http://www.zhangshu.gov.cn）下载。如对本报告有任何疑问，请与樟树市大桥街道党政办公室联系（地址：大桥街道办事处，电话：</w:t>
      </w:r>
      <w:r>
        <w:rPr>
          <w:rFonts w:hint="eastAsia" w:ascii="宋体" w:hAnsi="宋体" w:eastAsia="宋体" w:cs="宋体"/>
          <w:i w:val="0"/>
          <w:caps w:val="0"/>
          <w:color w:val="333333"/>
          <w:spacing w:val="0"/>
          <w:sz w:val="32"/>
          <w:szCs w:val="32"/>
          <w:lang w:val="en-US" w:eastAsia="zh-CN"/>
        </w:rPr>
        <w:t>0795-</w:t>
      </w:r>
      <w:r>
        <w:rPr>
          <w:rFonts w:hint="eastAsia" w:ascii="宋体" w:hAnsi="宋体" w:eastAsia="宋体" w:cs="宋体"/>
          <w:i w:val="0"/>
          <w:caps w:val="0"/>
          <w:color w:val="333333"/>
          <w:spacing w:val="0"/>
          <w:sz w:val="32"/>
          <w:szCs w:val="32"/>
        </w:rPr>
        <w:t>7160418</w:t>
      </w:r>
      <w:r>
        <w:rPr>
          <w:rFonts w:hint="eastAsia" w:ascii="仿宋" w:hAnsi="仿宋" w:eastAsia="仿宋_GB2312" w:cs="仿宋"/>
          <w:lang w:val="en-US" w:eastAsia="zh-CN"/>
        </w:rPr>
        <w:t>，邮编：331200）。</w:t>
      </w:r>
    </w:p>
    <w:p>
      <w:pPr>
        <w:keepNext w:val="0"/>
        <w:keepLines w:val="0"/>
        <w:pageBreakBefore w:val="0"/>
        <w:widowControl w:val="0"/>
        <w:kinsoku/>
        <w:wordWrap/>
        <w:overflowPunct/>
        <w:topLinePunct w:val="0"/>
        <w:autoSpaceDE/>
        <w:autoSpaceDN/>
        <w:bidi w:val="0"/>
        <w:adjustRightInd/>
        <w:snapToGrid/>
        <w:spacing w:before="176" w:beforeLines="30" w:after="118" w:afterLines="20"/>
        <w:ind w:firstLine="632" w:firstLineChars="200"/>
        <w:textAlignment w:val="auto"/>
        <w:outlineLvl w:val="9"/>
        <w:rPr>
          <w:rFonts w:hint="eastAsia" w:ascii="黑体" w:hAnsi="黑体" w:eastAsia="黑体" w:cs="黑体"/>
          <w:lang w:val="en-US" w:eastAsia="zh-CN"/>
        </w:rPr>
      </w:pPr>
      <w:r>
        <w:rPr>
          <w:rFonts w:hint="eastAsia" w:ascii="黑体" w:hAnsi="黑体" w:eastAsia="黑体" w:cs="黑体"/>
          <w:lang w:val="en-US" w:eastAsia="zh-CN"/>
        </w:rPr>
        <w:t>一、总体情况</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仿宋" w:hAnsi="仿宋" w:eastAsia="仿宋_GB2312" w:cs="仿宋"/>
          <w:lang w:val="en-US" w:eastAsia="zh-CN"/>
        </w:rPr>
      </w:pPr>
      <w:r>
        <w:rPr>
          <w:rFonts w:hint="eastAsia" w:ascii="仿宋" w:hAnsi="仿宋" w:eastAsia="仿宋_GB2312" w:cs="仿宋"/>
          <w:lang w:val="en-US" w:eastAsia="zh-CN"/>
        </w:rPr>
        <w:t>2022年大桥街道坚持以习近平新时代中国特色社会主义思想为指导，严格落实《国务院办公厅印发〈关于全面推进政务公开工作的意见〉实施细则的通知》（国办发〔2016〕80号）和《国务院办公厅关于印发2022年政务公开工作要点的通知》（国办发〔2022〕8号）的要求。同时紧紧围绕市委、市政府中心工作及社会群众关注关切，着力提升政府信息公开质量，推进拓宽政府信息公开渠道，不断增强政府信息公开实效。</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楷体" w:hAnsi="楷体" w:eastAsia="楷体" w:cs="楷体"/>
          <w:b/>
          <w:bCs/>
          <w:lang w:val="en-US" w:eastAsia="zh-CN"/>
        </w:rPr>
      </w:pPr>
      <w:r>
        <w:rPr>
          <w:rFonts w:hint="eastAsia" w:ascii="楷体" w:hAnsi="楷体" w:eastAsia="楷体" w:cs="楷体"/>
          <w:b/>
          <w:bCs/>
          <w:lang w:val="en-US" w:eastAsia="zh-CN"/>
        </w:rPr>
        <w:t>（一）主动公开</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仿宋" w:hAnsi="仿宋" w:eastAsia="仿宋_GB2312" w:cs="仿宋"/>
          <w:lang w:val="en-US" w:eastAsia="zh-CN"/>
        </w:rPr>
      </w:pPr>
      <w:r>
        <w:rPr>
          <w:rFonts w:hint="eastAsia" w:ascii="仿宋" w:hAnsi="仿宋" w:eastAsia="仿宋_GB2312" w:cs="仿宋"/>
          <w:lang w:val="en-US" w:eastAsia="zh-CN"/>
        </w:rPr>
        <w:t>街道以主动公开政府信息作为工作重点，加大主动公开力度，丰富公开途径，扎实推进主动公开政府信息工作。2022年我街道在樟树市人民政府网信息公开专栏共发布151条，其中政务动态类信息47条，发布政策文件4条，关联政策解读4条，公示公告8，财经信息3条，计划总结3条，重点领域信息68条，人大建议1条。</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楷体" w:hAnsi="楷体" w:eastAsia="楷体" w:cs="楷体"/>
          <w:b/>
          <w:bCs/>
          <w:lang w:val="en-US" w:eastAsia="zh-CN"/>
        </w:rPr>
      </w:pPr>
      <w:r>
        <w:rPr>
          <w:rFonts w:hint="eastAsia" w:ascii="楷体" w:hAnsi="楷体" w:eastAsia="楷体" w:cs="楷体"/>
          <w:b/>
          <w:bCs/>
          <w:lang w:val="en-US" w:eastAsia="zh-CN"/>
        </w:rPr>
        <w:t>（二）依申请公开</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default" w:ascii="仿宋" w:hAnsi="仿宋" w:eastAsia="仿宋_GB2312" w:cs="仿宋"/>
          <w:lang w:val="en-US" w:eastAsia="zh-CN"/>
        </w:rPr>
      </w:pPr>
      <w:r>
        <w:rPr>
          <w:rFonts w:hint="eastAsia" w:ascii="仿宋" w:hAnsi="仿宋" w:eastAsia="仿宋_GB2312" w:cs="仿宋"/>
          <w:lang w:val="en-US" w:eastAsia="zh-CN"/>
        </w:rPr>
        <w:t>进一步规范依申请公开，建立健全接收、登记、办理、答复等流程，依法保障公民、法人和其他组织获取政府信息，2022年收到依申请件0例。</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default" w:ascii="楷体" w:hAnsi="楷体" w:eastAsia="楷体" w:cs="楷体"/>
          <w:b/>
          <w:bCs/>
          <w:lang w:val="en-US" w:eastAsia="zh-CN"/>
        </w:rPr>
      </w:pPr>
      <w:r>
        <w:rPr>
          <w:rFonts w:hint="eastAsia" w:ascii="楷体" w:hAnsi="楷体" w:eastAsia="楷体" w:cs="楷体"/>
          <w:b/>
          <w:bCs/>
          <w:lang w:val="en-US" w:eastAsia="zh-CN"/>
        </w:rPr>
        <w:t>（三）政府信息管理</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default" w:ascii="仿宋" w:hAnsi="仿宋" w:eastAsia="仿宋_GB2312" w:cs="仿宋"/>
          <w:lang w:val="en-US" w:eastAsia="zh-CN"/>
        </w:rPr>
      </w:pPr>
      <w:r>
        <w:rPr>
          <w:rFonts w:hint="eastAsia" w:ascii="仿宋" w:hAnsi="仿宋" w:eastAsia="仿宋_GB2312" w:cs="仿宋"/>
          <w:lang w:val="en-US" w:eastAsia="zh-CN"/>
        </w:rPr>
        <w:t>加强政府信息管理，按照“先审查、后公开”和“一事一审”原则做好保密审查，全年无失密泄密事件发生。</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楷体" w:hAnsi="楷体" w:eastAsia="楷体" w:cs="楷体"/>
          <w:b/>
          <w:bCs/>
          <w:lang w:val="en-US" w:eastAsia="zh-CN"/>
        </w:rPr>
      </w:pPr>
      <w:r>
        <w:rPr>
          <w:rFonts w:hint="eastAsia" w:ascii="楷体" w:hAnsi="楷体" w:eastAsia="楷体" w:cs="楷体"/>
          <w:b/>
          <w:bCs/>
          <w:lang w:val="en-US" w:eastAsia="zh-CN"/>
        </w:rPr>
        <w:t>（四）政府信息公开平台建设</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default" w:ascii="仿宋" w:hAnsi="仿宋" w:eastAsia="仿宋_GB2312" w:cs="仿宋"/>
          <w:lang w:val="en-US" w:eastAsia="zh-CN"/>
        </w:rPr>
      </w:pPr>
      <w:r>
        <w:rPr>
          <w:rFonts w:hint="eastAsia" w:ascii="仿宋" w:hAnsi="仿宋" w:eastAsia="仿宋_GB2312" w:cs="仿宋"/>
          <w:lang w:val="en-US" w:eastAsia="zh-CN"/>
        </w:rPr>
        <w:t>依托现有政府信息平台，例如政务新媒体、手机APP、两微一端等，准确发布法定主动公开内容。</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楷体" w:hAnsi="楷体" w:eastAsia="楷体" w:cs="楷体"/>
          <w:b/>
          <w:bCs/>
          <w:lang w:val="en-US" w:eastAsia="zh-CN"/>
        </w:rPr>
      </w:pPr>
      <w:r>
        <w:rPr>
          <w:rFonts w:hint="eastAsia" w:ascii="楷体" w:hAnsi="楷体" w:eastAsia="楷体" w:cs="楷体"/>
          <w:b/>
          <w:bCs/>
          <w:lang w:val="en-US" w:eastAsia="zh-CN"/>
        </w:rPr>
        <w:t>（五）监督保障</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default" w:ascii="仿宋" w:hAnsi="仿宋" w:eastAsia="仿宋_GB2312" w:cs="仿宋"/>
          <w:highlight w:val="cyan"/>
          <w:lang w:val="en-US" w:eastAsia="zh-CN"/>
        </w:rPr>
      </w:pPr>
      <w:r>
        <w:rPr>
          <w:rFonts w:hint="eastAsia" w:ascii="仿宋" w:hAnsi="仿宋" w:eastAsia="仿宋_GB2312" w:cs="仿宋"/>
          <w:lang w:val="en-US" w:eastAsia="zh-CN"/>
        </w:rPr>
        <w:t>强化监督保障机制，建立健全信息发布审核制度，严格落实“先审后发”，确保信息规范准确。依申请公开机制，全面落实监督岗位责任，强化监督保障力度。</w:t>
      </w:r>
    </w:p>
    <w:p>
      <w:pPr>
        <w:keepNext w:val="0"/>
        <w:keepLines w:val="0"/>
        <w:pageBreakBefore w:val="0"/>
        <w:widowControl w:val="0"/>
        <w:kinsoku/>
        <w:wordWrap/>
        <w:overflowPunct/>
        <w:topLinePunct w:val="0"/>
        <w:autoSpaceDE/>
        <w:autoSpaceDN/>
        <w:bidi w:val="0"/>
        <w:adjustRightInd/>
        <w:snapToGrid/>
        <w:spacing w:before="176" w:beforeLines="30" w:after="118" w:afterLines="20"/>
        <w:ind w:firstLine="632" w:firstLineChars="200"/>
        <w:textAlignment w:val="auto"/>
        <w:outlineLvl w:val="9"/>
        <w:rPr>
          <w:rFonts w:hint="eastAsia" w:ascii="黑体" w:hAnsi="黑体" w:eastAsia="黑体" w:cs="黑体"/>
          <w:lang w:val="en-US" w:eastAsia="zh-CN"/>
        </w:rPr>
      </w:pPr>
      <w:r>
        <w:rPr>
          <w:rFonts w:hint="eastAsia" w:ascii="黑体" w:hAnsi="黑体" w:eastAsia="黑体" w:cs="黑体"/>
          <w:lang w:val="en-US" w:eastAsia="zh-CN"/>
        </w:rPr>
        <w:t>二、行政机关主动公开政府信息情况</w:t>
      </w:r>
    </w:p>
    <w:tbl>
      <w:tblPr>
        <w:tblStyle w:val="5"/>
        <w:tblW w:w="9039" w:type="dxa"/>
        <w:jc w:val="center"/>
        <w:shd w:val="clear" w:color="auto" w:fill="auto"/>
        <w:tblLayout w:type="fixed"/>
        <w:tblCellMar>
          <w:top w:w="0" w:type="dxa"/>
          <w:left w:w="0" w:type="dxa"/>
          <w:bottom w:w="0" w:type="dxa"/>
          <w:right w:w="0" w:type="dxa"/>
        </w:tblCellMar>
      </w:tblPr>
      <w:tblGrid>
        <w:gridCol w:w="1734"/>
        <w:gridCol w:w="2435"/>
        <w:gridCol w:w="2435"/>
        <w:gridCol w:w="2435"/>
      </w:tblGrid>
      <w:tr>
        <w:tblPrEx>
          <w:shd w:val="clear" w:color="auto" w:fill="auto"/>
          <w:tblCellMar>
            <w:top w:w="0" w:type="dxa"/>
            <w:left w:w="0" w:type="dxa"/>
            <w:bottom w:w="0" w:type="dxa"/>
            <w:right w:w="0" w:type="dxa"/>
          </w:tblCellMar>
        </w:tblPrEx>
        <w:trPr>
          <w:trHeight w:val="340" w:hRule="atLeast"/>
          <w:jc w:val="center"/>
        </w:trPr>
        <w:tc>
          <w:tcPr>
            <w:tcW w:w="9039"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第二十条第（一）项</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w:t>
            </w:r>
            <w:r>
              <w:rPr>
                <w:rFonts w:hint="eastAsia" w:ascii="宋体" w:hAnsi="宋体" w:eastAsia="宋体" w:cs="宋体"/>
                <w:kern w:val="0"/>
                <w:sz w:val="20"/>
                <w:szCs w:val="20"/>
                <w:lang w:val="en-US" w:eastAsia="zh-CN" w:bidi="ar"/>
              </w:rPr>
              <w:t>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themeColor="text1"/>
                <w:kern w:val="2"/>
                <w:sz w:val="32"/>
                <w:szCs w:val="21"/>
                <w:lang w:val="en-US" w:eastAsia="zh-CN" w:bidi="ar-SA"/>
                <w14:textFill>
                  <w14:solidFill>
                    <w14:schemeClr w14:val="tx1"/>
                  </w14:solidFill>
                </w14:textFill>
              </w:rPr>
            </w:pPr>
            <w:r>
              <w:rPr>
                <w:rFonts w:hint="eastAsia" w:ascii="仿宋" w:hAnsi="仿宋" w:eastAsia="仿宋" w:cs="仿宋"/>
                <w:color w:val="000000" w:themeColor="text1"/>
                <w:szCs w:val="21"/>
                <w:lang w:val="en-US" w:eastAsia="zh-CN"/>
                <w14:textFill>
                  <w14:solidFill>
                    <w14:schemeClr w14:val="tx1"/>
                  </w14:solidFill>
                </w14:textFill>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themeColor="text1"/>
                <w:kern w:val="2"/>
                <w:sz w:val="32"/>
                <w:szCs w:val="21"/>
                <w:lang w:val="en-US" w:eastAsia="zh-CN" w:bidi="ar-SA"/>
                <w14:textFill>
                  <w14:solidFill>
                    <w14:schemeClr w14:val="tx1"/>
                  </w14:solidFill>
                </w14:textFill>
              </w:rPr>
            </w:pPr>
            <w:r>
              <w:rPr>
                <w:rFonts w:hint="eastAsia" w:ascii="仿宋" w:hAnsi="仿宋" w:eastAsia="仿宋" w:cs="仿宋"/>
                <w:color w:val="000000" w:themeColor="text1"/>
                <w:szCs w:val="21"/>
                <w:lang w:val="en-US" w:eastAsia="zh-CN"/>
                <w14:textFill>
                  <w14:solidFill>
                    <w14:schemeClr w14:val="tx1"/>
                  </w14:solidFill>
                </w14:textFill>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themeColor="text1"/>
                <w:kern w:val="2"/>
                <w:sz w:val="32"/>
                <w:szCs w:val="21"/>
                <w:lang w:val="en-US" w:eastAsia="zh-CN" w:bidi="ar-SA"/>
                <w14:textFill>
                  <w14:solidFill>
                    <w14:schemeClr w14:val="tx1"/>
                  </w14:solidFill>
                </w14:textFill>
              </w:rPr>
            </w:pPr>
            <w:r>
              <w:rPr>
                <w:rFonts w:hint="eastAsia" w:ascii="仿宋" w:hAnsi="仿宋" w:eastAsia="仿宋" w:cs="仿宋"/>
                <w:color w:val="000000" w:themeColor="text1"/>
                <w:szCs w:val="21"/>
                <w:lang w:val="en-US" w:eastAsia="zh-CN"/>
                <w14:textFill>
                  <w14:solidFill>
                    <w14:schemeClr w14:val="tx1"/>
                  </w14:solidFill>
                </w14:textFill>
              </w:rPr>
              <w:t>0</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themeColor="text1"/>
                <w:kern w:val="2"/>
                <w:sz w:val="32"/>
                <w:szCs w:val="21"/>
                <w:lang w:val="en-US" w:eastAsia="zh-CN" w:bidi="ar-SA"/>
                <w14:textFill>
                  <w14:solidFill>
                    <w14:schemeClr w14:val="tx1"/>
                  </w14:solidFill>
                </w14:textFill>
              </w:rPr>
            </w:pPr>
            <w:r>
              <w:rPr>
                <w:rFonts w:hint="eastAsia" w:ascii="仿宋" w:hAnsi="仿宋" w:cs="仿宋"/>
                <w:color w:val="000000" w:themeColor="text1"/>
                <w:szCs w:val="21"/>
                <w:lang w:val="en-US" w:eastAsia="zh-CN"/>
                <w14:textFill>
                  <w14:solidFill>
                    <w14:schemeClr w14:val="tx1"/>
                  </w14:solidFill>
                </w14:textFill>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themeColor="text1"/>
                <w:kern w:val="2"/>
                <w:sz w:val="32"/>
                <w:szCs w:val="21"/>
                <w:lang w:val="en-US" w:eastAsia="zh-CN" w:bidi="ar-SA"/>
                <w14:textFill>
                  <w14:solidFill>
                    <w14:schemeClr w14:val="tx1"/>
                  </w14:solidFill>
                </w14:textFill>
              </w:rPr>
            </w:pPr>
            <w:r>
              <w:rPr>
                <w:rFonts w:hint="eastAsia" w:ascii="仿宋" w:hAnsi="仿宋" w:cs="仿宋"/>
                <w:color w:val="000000" w:themeColor="text1"/>
                <w:szCs w:val="21"/>
                <w:lang w:val="en-US" w:eastAsia="zh-CN"/>
                <w14:textFill>
                  <w14:solidFill>
                    <w14:schemeClr w14:val="tx1"/>
                  </w14:solidFill>
                </w14:textFill>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themeColor="text1"/>
                <w:kern w:val="2"/>
                <w:sz w:val="32"/>
                <w:szCs w:val="21"/>
                <w:lang w:val="en-US" w:eastAsia="zh-CN" w:bidi="ar-SA"/>
                <w14:textFill>
                  <w14:solidFill>
                    <w14:schemeClr w14:val="tx1"/>
                  </w14:solidFill>
                </w14:textFill>
              </w:rPr>
            </w:pPr>
            <w:r>
              <w:rPr>
                <w:rFonts w:hint="eastAsia" w:ascii="仿宋" w:hAnsi="仿宋" w:cs="仿宋"/>
                <w:color w:val="000000" w:themeColor="text1"/>
                <w:szCs w:val="21"/>
                <w:lang w:val="en-US" w:eastAsia="zh-CN"/>
                <w14:textFill>
                  <w14:solidFill>
                    <w14:schemeClr w14:val="tx1"/>
                  </w14:solidFill>
                </w14:textFill>
              </w:rPr>
              <w:t>0</w:t>
            </w:r>
          </w:p>
        </w:tc>
      </w:tr>
      <w:tr>
        <w:tblPrEx>
          <w:tblCellMar>
            <w:top w:w="0" w:type="dxa"/>
            <w:left w:w="0" w:type="dxa"/>
            <w:bottom w:w="0" w:type="dxa"/>
            <w:right w:w="0" w:type="dxa"/>
          </w:tblCellMar>
        </w:tblPrEx>
        <w:trPr>
          <w:trHeight w:val="340" w:hRule="atLeast"/>
          <w:jc w:val="center"/>
        </w:trPr>
        <w:tc>
          <w:tcPr>
            <w:tcW w:w="9039"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第二十条第（五）项</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本年处理决定数量</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pPr>
            <w:r>
              <w:rPr>
                <w:rFonts w:hint="eastAsia" w:ascii="仿宋" w:hAnsi="仿宋" w:eastAsia="仿宋" w:cs="仿宋"/>
                <w:color w:val="000000" w:themeColor="text1"/>
                <w:kern w:val="2"/>
                <w:sz w:val="32"/>
                <w:szCs w:val="21"/>
                <w:lang w:val="en-US" w:eastAsia="zh-CN" w:bidi="ar-SA"/>
                <w14:textFill>
                  <w14:solidFill>
                    <w14:schemeClr w14:val="tx1"/>
                  </w14:solidFill>
                </w14:textFill>
              </w:rPr>
              <w:t>0</w:t>
            </w:r>
            <w:r>
              <w:rPr>
                <w:rFonts w:hint="default" w:ascii="仿宋" w:hAnsi="仿宋" w:eastAsia="仿宋" w:cs="仿宋"/>
                <w:color w:val="000000" w:themeColor="text1"/>
                <w:kern w:val="2"/>
                <w:sz w:val="32"/>
                <w:szCs w:val="21"/>
                <w:lang w:val="en-US" w:eastAsia="zh-CN" w:bidi="ar-SA"/>
                <w14:textFill>
                  <w14:solidFill>
                    <w14:schemeClr w14:val="tx1"/>
                  </w14:solidFill>
                </w14:textFill>
              </w:rPr>
              <w:t> </w:t>
            </w:r>
          </w:p>
        </w:tc>
      </w:tr>
      <w:tr>
        <w:tblPrEx>
          <w:tblCellMar>
            <w:top w:w="0" w:type="dxa"/>
            <w:left w:w="0" w:type="dxa"/>
            <w:bottom w:w="0" w:type="dxa"/>
            <w:right w:w="0" w:type="dxa"/>
          </w:tblCellMar>
        </w:tblPrEx>
        <w:trPr>
          <w:trHeight w:val="340" w:hRule="atLeast"/>
          <w:jc w:val="center"/>
        </w:trPr>
        <w:tc>
          <w:tcPr>
            <w:tcW w:w="9039"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第二十条第（六）项</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本年处理决定数量</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pPr>
            <w:r>
              <w:rPr>
                <w:rFonts w:hint="eastAsia"/>
                <w:lang w:val="en-US" w:eastAsia="zh-CN"/>
              </w:rPr>
              <w:t>0　</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pPr>
            <w:r>
              <w:rPr>
                <w:rFonts w:hint="eastAsia"/>
                <w:lang w:val="en-US" w:eastAsia="zh-CN"/>
              </w:rPr>
              <w:t>0　</w:t>
            </w:r>
          </w:p>
        </w:tc>
      </w:tr>
      <w:tr>
        <w:tblPrEx>
          <w:tblCellMar>
            <w:top w:w="0" w:type="dxa"/>
            <w:left w:w="0" w:type="dxa"/>
            <w:bottom w:w="0" w:type="dxa"/>
            <w:right w:w="0" w:type="dxa"/>
          </w:tblCellMar>
        </w:tblPrEx>
        <w:trPr>
          <w:trHeight w:val="340" w:hRule="atLeast"/>
          <w:jc w:val="center"/>
        </w:trPr>
        <w:tc>
          <w:tcPr>
            <w:tcW w:w="9039"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第二十条第（八）项</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本年收费金额（单位：万元）</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jc w:val="center"/>
              <w:rPr>
                <w:rFonts w:hint="eastAsia" w:ascii="宋体" w:eastAsia="仿宋"/>
                <w:sz w:val="24"/>
                <w:szCs w:val="24"/>
                <w:lang w:val="en-US" w:eastAsia="zh-CN"/>
              </w:rPr>
            </w:pPr>
            <w:r>
              <w:rPr>
                <w:rFonts w:hint="eastAsia"/>
                <w:lang w:val="en-US" w:eastAsia="zh-CN"/>
              </w:rPr>
              <w:t>0</w:t>
            </w:r>
          </w:p>
        </w:tc>
      </w:tr>
    </w:tbl>
    <w:p>
      <w:pPr>
        <w:keepNext w:val="0"/>
        <w:keepLines w:val="0"/>
        <w:pageBreakBefore w:val="0"/>
        <w:widowControl w:val="0"/>
        <w:kinsoku/>
        <w:wordWrap/>
        <w:overflowPunct/>
        <w:topLinePunct w:val="0"/>
        <w:autoSpaceDE/>
        <w:autoSpaceDN/>
        <w:bidi w:val="0"/>
        <w:adjustRightInd/>
        <w:snapToGrid/>
        <w:spacing w:before="176" w:beforeLines="30" w:after="118" w:afterLines="20"/>
        <w:ind w:firstLine="632" w:firstLineChars="200"/>
        <w:textAlignment w:val="auto"/>
        <w:outlineLvl w:val="9"/>
        <w:rPr>
          <w:rFonts w:hint="default" w:ascii="黑体" w:hAnsi="黑体" w:eastAsia="黑体" w:cs="黑体"/>
          <w:lang w:val="en-US" w:eastAsia="zh-CN"/>
        </w:rPr>
      </w:pPr>
      <w:r>
        <w:rPr>
          <w:rFonts w:hint="eastAsia" w:ascii="黑体" w:hAnsi="黑体" w:eastAsia="黑体" w:cs="黑体"/>
          <w:lang w:val="en-US" w:eastAsia="zh-CN"/>
        </w:rPr>
        <w:t>三、行政机关收到和处理政府信息公开申请情况</w:t>
      </w:r>
    </w:p>
    <w:tbl>
      <w:tblPr>
        <w:tblStyle w:val="5"/>
        <w:tblW w:w="90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818"/>
        <w:gridCol w:w="835"/>
        <w:gridCol w:w="2579"/>
        <w:gridCol w:w="688"/>
        <w:gridCol w:w="688"/>
        <w:gridCol w:w="688"/>
        <w:gridCol w:w="688"/>
        <w:gridCol w:w="688"/>
        <w:gridCol w:w="688"/>
        <w:gridCol w:w="68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232"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ascii="楷体" w:hAnsi="楷体" w:eastAsia="楷体" w:cs="楷体"/>
                <w:kern w:val="0"/>
                <w:sz w:val="20"/>
                <w:szCs w:val="20"/>
                <w:lang w:val="en-US" w:eastAsia="zh-CN" w:bidi="ar"/>
              </w:rPr>
              <w:t>（本列数据的勾稽关系为：第一项加第二项之和，等于第三项加第四项之和）</w:t>
            </w:r>
          </w:p>
        </w:tc>
        <w:tc>
          <w:tcPr>
            <w:tcW w:w="4816"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232"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688"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自然人</w:t>
            </w:r>
          </w:p>
        </w:tc>
        <w:tc>
          <w:tcPr>
            <w:tcW w:w="3440" w:type="dxa"/>
            <w:gridSpan w:val="5"/>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法人或其他组织</w:t>
            </w:r>
          </w:p>
        </w:tc>
        <w:tc>
          <w:tcPr>
            <w:tcW w:w="688" w:type="dxa"/>
            <w:vMerge w:val="restart"/>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232"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688"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商业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企业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科研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社会公益组织</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法律服务机构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其他</w:t>
            </w:r>
          </w:p>
        </w:tc>
        <w:tc>
          <w:tcPr>
            <w:tcW w:w="688" w:type="dxa"/>
            <w:vMerge w:val="continue"/>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23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一、本年新收政府信息公开申请数量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23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二、上年结转政府信息公开申请数量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三、本年度办理结果</w:t>
            </w:r>
          </w:p>
        </w:tc>
        <w:tc>
          <w:tcPr>
            <w:tcW w:w="3414"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（一）予以公开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3414"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（二）部分公开</w:t>
            </w:r>
            <w:r>
              <w:rPr>
                <w:rFonts w:hint="eastAsia" w:ascii="楷体" w:hAnsi="楷体" w:eastAsia="楷体" w:cs="楷体"/>
                <w:kern w:val="0"/>
                <w:sz w:val="20"/>
                <w:szCs w:val="20"/>
                <w:lang w:val="en-US" w:eastAsia="zh-CN" w:bidi="ar"/>
              </w:rPr>
              <w:t>（区分处理的，只计这一情形，不计其他情形）</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（三）不予公开</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1.属于国家秘密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2.其他法律行政法规禁止公开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3.危及“三安全一稳定”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4.保护第三方合法权益</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5.属于三类内部事务信息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6.属于四类过程性信息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7.属于行政执法案卷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8.属于行政查询事项</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（四）无法提供</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1.本机关不掌握相关政府信息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2.没有现成信息需要另行制作</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3.补正后申请内容仍不明确</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（五）不予处理</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1.信访举报投诉类申请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2.重复申请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3.要求提供公开出版物</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4.无正当理由大量反复申请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79" w:hRule="atLeast"/>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pPr>
            <w:r>
              <w:rPr>
                <w:rFonts w:hint="eastAsia" w:ascii="宋体" w:hAnsi="宋体" w:eastAsia="宋体" w:cs="宋体"/>
                <w:kern w:val="0"/>
                <w:sz w:val="20"/>
                <w:szCs w:val="20"/>
                <w:lang w:val="en-US" w:eastAsia="zh-CN" w:bidi="ar"/>
              </w:rPr>
              <w:t>5.要求行政机关确认或重新出具已获取信息</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restart"/>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（六）其他处理</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3.其他</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3414"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（七）总计</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23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四、结转下年度继续办理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bl>
    <w:p>
      <w:pPr>
        <w:keepNext w:val="0"/>
        <w:keepLines w:val="0"/>
        <w:pageBreakBefore w:val="0"/>
        <w:widowControl w:val="0"/>
        <w:kinsoku/>
        <w:wordWrap/>
        <w:overflowPunct/>
        <w:topLinePunct w:val="0"/>
        <w:autoSpaceDE/>
        <w:autoSpaceDN/>
        <w:bidi w:val="0"/>
        <w:adjustRightInd/>
        <w:snapToGrid/>
        <w:textAlignment w:val="auto"/>
        <w:outlineLvl w:val="9"/>
        <w:rPr>
          <w:rFonts w:hint="default" w:ascii="仿宋" w:hAnsi="仿宋" w:eastAsia="仿宋_GB2312" w:cs="仿宋"/>
          <w:highlight w:val="cyan"/>
          <w:lang w:val="en-US" w:eastAsia="zh-CN"/>
        </w:rPr>
      </w:pPr>
      <w:r>
        <w:rPr>
          <w:rFonts w:hint="eastAsia" w:ascii="黑体" w:hAnsi="黑体" w:eastAsia="黑体" w:cs="黑体"/>
          <w:spacing w:val="-6"/>
          <w:lang w:val="en-US" w:eastAsia="zh-CN"/>
        </w:rPr>
        <w:t>四、因政府信息公开工作被申请行政复议、提起行政诉讼情况</w:t>
      </w:r>
    </w:p>
    <w:tbl>
      <w:tblPr>
        <w:tblStyle w:val="6"/>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
      <w:tblGrid>
        <w:gridCol w:w="619"/>
        <w:gridCol w:w="619"/>
        <w:gridCol w:w="619"/>
        <w:gridCol w:w="619"/>
        <w:gridCol w:w="619"/>
        <w:gridCol w:w="619"/>
        <w:gridCol w:w="619"/>
        <w:gridCol w:w="619"/>
        <w:gridCol w:w="619"/>
        <w:gridCol w:w="619"/>
        <w:gridCol w:w="619"/>
        <w:gridCol w:w="619"/>
        <w:gridCol w:w="620"/>
        <w:gridCol w:w="620"/>
        <w:gridCol w:w="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jc w:val="center"/>
        </w:trPr>
        <w:tc>
          <w:tcPr>
            <w:tcW w:w="3095"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行政复议</w:t>
            </w:r>
          </w:p>
        </w:tc>
        <w:tc>
          <w:tcPr>
            <w:tcW w:w="6193" w:type="dxa"/>
            <w:gridSpan w:val="1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jc w:val="center"/>
        </w:trPr>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结果维持</w:t>
            </w:r>
          </w:p>
        </w:tc>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纠正</w:t>
            </w:r>
          </w:p>
        </w:tc>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其他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tc>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审结</w:t>
            </w:r>
          </w:p>
        </w:tc>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总计</w:t>
            </w:r>
          </w:p>
        </w:tc>
        <w:tc>
          <w:tcPr>
            <w:tcW w:w="3095"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未经复议直接起诉</w:t>
            </w:r>
          </w:p>
        </w:tc>
        <w:tc>
          <w:tcPr>
            <w:tcW w:w="3098"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jc w:val="center"/>
        </w:trPr>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p>
        </w:tc>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p>
        </w:tc>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p>
        </w:tc>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p>
        </w:tc>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维持</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纠正</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其他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审结</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总计</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维持</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纠正</w:t>
            </w:r>
          </w:p>
        </w:tc>
        <w:tc>
          <w:tcPr>
            <w:tcW w:w="62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其他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tc>
        <w:tc>
          <w:tcPr>
            <w:tcW w:w="62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审结</w:t>
            </w:r>
          </w:p>
        </w:tc>
        <w:tc>
          <w:tcPr>
            <w:tcW w:w="62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jc w:val="center"/>
        </w:trPr>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r>
    </w:tbl>
    <w:p>
      <w:pPr>
        <w:keepNext w:val="0"/>
        <w:keepLines w:val="0"/>
        <w:pageBreakBefore w:val="0"/>
        <w:widowControl w:val="0"/>
        <w:kinsoku/>
        <w:wordWrap/>
        <w:overflowPunct/>
        <w:topLinePunct w:val="0"/>
        <w:autoSpaceDE/>
        <w:autoSpaceDN/>
        <w:bidi w:val="0"/>
        <w:adjustRightInd/>
        <w:snapToGrid/>
        <w:spacing w:before="176" w:beforeLines="30" w:after="118" w:afterLines="20" w:line="560" w:lineRule="exact"/>
        <w:ind w:firstLine="632" w:firstLineChars="200"/>
        <w:textAlignment w:val="auto"/>
        <w:outlineLvl w:val="9"/>
        <w:rPr>
          <w:rFonts w:hint="default" w:ascii="黑体" w:hAnsi="黑体" w:eastAsia="黑体" w:cs="黑体"/>
          <w:lang w:val="en-US" w:eastAsia="zh-CN"/>
        </w:rPr>
      </w:pPr>
      <w:r>
        <w:rPr>
          <w:rFonts w:hint="eastAsia" w:ascii="黑体" w:hAnsi="黑体" w:eastAsia="黑体" w:cs="黑体"/>
          <w:lang w:val="en-US" w:eastAsia="zh-CN"/>
        </w:rPr>
        <w:t>五、政府信息公开工作存在的主要问题及改进情况</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default" w:ascii="仿宋" w:hAnsi="仿宋" w:eastAsia="仿宋_GB2312" w:cs="仿宋"/>
          <w:lang w:val="en-US" w:eastAsia="zh-CN"/>
        </w:rPr>
      </w:pPr>
      <w:r>
        <w:rPr>
          <w:rFonts w:hint="eastAsia" w:ascii="仿宋" w:hAnsi="仿宋" w:eastAsia="仿宋_GB2312" w:cs="仿宋"/>
          <w:lang w:val="en-US" w:eastAsia="zh-CN"/>
        </w:rPr>
        <w:t>2022年，我街道政务信息公开工作虽然取得了一定进展，但离市委、市政府和人民群众的要求还有一定的差距。</w:t>
      </w:r>
      <w:r>
        <w:rPr>
          <w:rFonts w:hint="eastAsia" w:ascii="仿宋" w:hAnsi="仿宋" w:eastAsia="仿宋_GB2312" w:cs="仿宋"/>
          <w:b/>
          <w:bCs/>
          <w:lang w:val="en-US" w:eastAsia="zh-CN"/>
        </w:rPr>
        <w:t>一是</w:t>
      </w:r>
      <w:r>
        <w:rPr>
          <w:rFonts w:hint="eastAsia" w:ascii="仿宋" w:hAnsi="仿宋" w:eastAsia="仿宋_GB2312" w:cs="仿宋"/>
          <w:lang w:val="en-US" w:eastAsia="zh-CN"/>
        </w:rPr>
        <w:t>信息公开的内容不够全面、有待进一步完善；</w:t>
      </w:r>
      <w:r>
        <w:rPr>
          <w:rFonts w:hint="eastAsia" w:ascii="仿宋" w:hAnsi="仿宋" w:eastAsia="仿宋_GB2312" w:cs="仿宋"/>
          <w:b/>
          <w:bCs/>
          <w:lang w:val="en-US" w:eastAsia="zh-CN"/>
        </w:rPr>
        <w:t>二是</w:t>
      </w:r>
      <w:r>
        <w:rPr>
          <w:rFonts w:hint="eastAsia" w:ascii="仿宋" w:hAnsi="仿宋" w:eastAsia="仿宋_GB2312" w:cs="仿宋"/>
          <w:lang w:val="en-US" w:eastAsia="zh-CN"/>
        </w:rPr>
        <w:t>创新及内容表现形式丰富度方面还不足；</w:t>
      </w:r>
      <w:r>
        <w:rPr>
          <w:rFonts w:hint="eastAsia" w:ascii="仿宋" w:hAnsi="仿宋" w:eastAsia="仿宋_GB2312" w:cs="仿宋"/>
          <w:b/>
          <w:bCs/>
          <w:lang w:val="en-US" w:eastAsia="zh-CN"/>
        </w:rPr>
        <w:t>三是</w:t>
      </w:r>
      <w:r>
        <w:rPr>
          <w:rFonts w:hint="eastAsia" w:ascii="仿宋" w:hAnsi="仿宋" w:eastAsia="仿宋_GB2312" w:cs="仿宋"/>
          <w:lang w:val="en-US" w:eastAsia="zh-CN"/>
        </w:rPr>
        <w:t>信息公开队伍建设人员力量有待加强。</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default" w:ascii="仿宋" w:hAnsi="仿宋" w:eastAsia="仿宋_GB2312" w:cs="仿宋"/>
          <w:lang w:val="en-US" w:eastAsia="zh-CN"/>
        </w:rPr>
      </w:pPr>
      <w:r>
        <w:rPr>
          <w:rFonts w:hint="eastAsia" w:ascii="仿宋" w:hAnsi="仿宋" w:eastAsia="仿宋_GB2312" w:cs="仿宋"/>
          <w:lang w:val="en-US" w:eastAsia="zh-CN"/>
        </w:rPr>
        <w:t>下一步，我街道将进一步深化思想认识、增强公开意识、落实工作责任，积极完善政府信息公开的内容，推进政务公开标准化规范化。不断创新公开形式。今后将在保证信息质量、时效的基础上，创新公开形式，在文字解读基础上，尽可能多地使用图片、视频，图文并茂等形式，使信息内容更生动、直观，进一步拓展政务公开的广度和深度，多措并举不断增强公开实效，使信息内容更生动、直观，进一步拓展政务公开的广度和深度，多措并举不断增强公开实效，全面提升政务公开工作水平。</w:t>
      </w:r>
    </w:p>
    <w:p>
      <w:pPr>
        <w:keepNext w:val="0"/>
        <w:keepLines w:val="0"/>
        <w:pageBreakBefore w:val="0"/>
        <w:widowControl w:val="0"/>
        <w:kinsoku/>
        <w:wordWrap/>
        <w:overflowPunct/>
        <w:topLinePunct w:val="0"/>
        <w:autoSpaceDE/>
        <w:autoSpaceDN/>
        <w:bidi w:val="0"/>
        <w:adjustRightInd/>
        <w:snapToGrid/>
        <w:spacing w:before="176" w:beforeLines="30" w:after="118" w:afterLines="20" w:line="560" w:lineRule="exact"/>
        <w:ind w:firstLine="632" w:firstLineChars="200"/>
        <w:textAlignment w:val="auto"/>
        <w:outlineLvl w:val="9"/>
        <w:rPr>
          <w:rFonts w:hint="default" w:ascii="黑体" w:hAnsi="黑体" w:eastAsia="黑体" w:cs="黑体"/>
          <w:lang w:val="en-US" w:eastAsia="zh-CN"/>
        </w:rPr>
      </w:pPr>
      <w:r>
        <w:rPr>
          <w:rFonts w:hint="eastAsia" w:ascii="黑体" w:hAnsi="黑体" w:eastAsia="黑体" w:cs="黑体"/>
          <w:lang w:val="en-US" w:eastAsia="zh-CN"/>
        </w:rPr>
        <w:t>六、其他需要报告的事项</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default" w:ascii="仿宋" w:hAnsi="仿宋" w:eastAsia="仿宋_GB2312" w:cs="仿宋"/>
          <w:lang w:val="en-US" w:eastAsia="zh-CN"/>
        </w:rPr>
      </w:pPr>
      <w:r>
        <w:rPr>
          <w:rFonts w:hint="eastAsia" w:ascii="仿宋" w:hAnsi="仿宋" w:eastAsia="仿宋_GB2312" w:cs="仿宋"/>
          <w:lang w:val="en-US" w:eastAsia="zh-CN"/>
        </w:rPr>
        <w:t>2022年度，本机关</w:t>
      </w:r>
      <w:bookmarkStart w:id="0" w:name="_GoBack"/>
      <w:bookmarkEnd w:id="0"/>
      <w:r>
        <w:rPr>
          <w:rFonts w:hint="eastAsia" w:ascii="仿宋" w:hAnsi="仿宋" w:eastAsia="仿宋_GB2312" w:cs="仿宋"/>
          <w:lang w:val="en-US" w:eastAsia="zh-CN"/>
        </w:rPr>
        <w:t>无收取信息处理费情况。</w:t>
      </w:r>
    </w:p>
    <w:sectPr>
      <w:footerReference r:id="rId3" w:type="default"/>
      <w:pgSz w:w="11906" w:h="16838"/>
      <w:pgMar w:top="1304" w:right="1417" w:bottom="1304" w:left="1417" w:header="907" w:footer="907" w:gutter="0"/>
      <w:cols w:space="0" w:num="1"/>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2000000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eastAsia" w:ascii="宋体" w:hAnsi="宋体" w:eastAsia="宋体" w:cs="宋体"/>
        <w:sz w:val="28"/>
        <w:szCs w:val="28"/>
        <w:lang w:val="en-US" w:eastAsia="zh-CN"/>
      </w:rPr>
    </w:pPr>
    <w:r>
      <w:rPr>
        <w:rFonts w:hint="eastAsia" w:ascii="宋体" w:hAnsi="宋体" w:eastAsia="宋体" w:cs="宋体"/>
        <w:kern w:val="0"/>
        <w:sz w:val="28"/>
        <w:szCs w:val="28"/>
        <w:lang w:val="en-US" w:eastAsia="zh-CN"/>
      </w:rPr>
      <w:t>-</w:t>
    </w:r>
    <w:r>
      <w:rPr>
        <w:rFonts w:hint="eastAsia" w:ascii="宋体" w:hAnsi="宋体" w:eastAsia="宋体" w:cs="宋体"/>
        <w:kern w:val="0"/>
        <w:sz w:val="28"/>
        <w:szCs w:val="28"/>
      </w:rPr>
      <w:t xml:space="preserve"> </w:t>
    </w:r>
    <w:r>
      <w:rPr>
        <w:rFonts w:hint="eastAsia" w:ascii="宋体" w:hAnsi="宋体" w:eastAsia="宋体" w:cs="宋体"/>
        <w:kern w:val="0"/>
        <w:sz w:val="28"/>
        <w:szCs w:val="28"/>
        <w:lang w:val="zh-CN"/>
      </w:rPr>
      <w:fldChar w:fldCharType="begin"/>
    </w:r>
    <w:r>
      <w:rPr>
        <w:rFonts w:hint="eastAsia" w:ascii="宋体" w:hAnsi="宋体" w:eastAsia="宋体" w:cs="宋体"/>
        <w:kern w:val="0"/>
        <w:sz w:val="28"/>
        <w:szCs w:val="28"/>
        <w:lang w:val="zh-CN"/>
      </w:rPr>
      <w:instrText xml:space="preserve"> PAGE </w:instrText>
    </w:r>
    <w:r>
      <w:rPr>
        <w:rFonts w:hint="eastAsia" w:ascii="宋体" w:hAnsi="宋体" w:eastAsia="宋体" w:cs="宋体"/>
        <w:kern w:val="0"/>
        <w:sz w:val="28"/>
        <w:szCs w:val="28"/>
        <w:lang w:val="zh-CN"/>
      </w:rPr>
      <w:fldChar w:fldCharType="separate"/>
    </w:r>
    <w:r>
      <w:rPr>
        <w:rFonts w:hint="eastAsia" w:ascii="宋体" w:hAnsi="宋体" w:eastAsia="宋体" w:cs="宋体"/>
        <w:kern w:val="0"/>
        <w:sz w:val="28"/>
        <w:szCs w:val="28"/>
        <w:lang w:val="zh-CN"/>
      </w:rPr>
      <w:t>1</w:t>
    </w:r>
    <w:r>
      <w:rPr>
        <w:rFonts w:hint="eastAsia" w:ascii="宋体" w:hAnsi="宋体" w:eastAsia="宋体" w:cs="宋体"/>
        <w:kern w:val="0"/>
        <w:sz w:val="28"/>
        <w:szCs w:val="28"/>
        <w:lang w:val="zh-CN"/>
      </w:rPr>
      <w:fldChar w:fldCharType="end"/>
    </w:r>
    <w:r>
      <w:rPr>
        <w:rFonts w:hint="eastAsia" w:ascii="宋体" w:hAnsi="宋体" w:eastAsia="宋体" w:cs="宋体"/>
        <w:kern w:val="0"/>
        <w:sz w:val="28"/>
        <w:szCs w:val="28"/>
      </w:rPr>
      <w:t xml:space="preserve"> </w:t>
    </w:r>
    <w:r>
      <w:rPr>
        <w:rFonts w:hint="eastAsia" w:ascii="宋体" w:hAnsi="宋体" w:eastAsia="宋体" w:cs="宋体"/>
        <w:kern w:val="0"/>
        <w:sz w:val="28"/>
        <w:szCs w:val="28"/>
        <w:lang w:val="en-US" w:eastAsia="zh-CN"/>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attachedTemplate r:id="rId1"/>
  <w:documentProtection w:enforcement="0"/>
  <w:defaultTabStop w:val="420"/>
  <w:drawingGridHorizontalSpacing w:val="158"/>
  <w:drawingGridVerticalSpacing w:val="29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YwZDY0YzVjNzZlODVhYjM1N2Q5NDFmM2IyOGQ0MDcifQ=="/>
  </w:docVars>
  <w:rsids>
    <w:rsidRoot w:val="105A4352"/>
    <w:rsid w:val="07F4584C"/>
    <w:rsid w:val="0BED0BAC"/>
    <w:rsid w:val="105A4352"/>
    <w:rsid w:val="108624B5"/>
    <w:rsid w:val="206207B8"/>
    <w:rsid w:val="254F7E52"/>
    <w:rsid w:val="2C27513E"/>
    <w:rsid w:val="2FD40CD6"/>
    <w:rsid w:val="362325BB"/>
    <w:rsid w:val="37D50499"/>
    <w:rsid w:val="3A4D6E28"/>
    <w:rsid w:val="40A96C1E"/>
    <w:rsid w:val="41605AC0"/>
    <w:rsid w:val="430E1771"/>
    <w:rsid w:val="4476409F"/>
    <w:rsid w:val="488A48C3"/>
    <w:rsid w:val="4A6C6248"/>
    <w:rsid w:val="543D7671"/>
    <w:rsid w:val="55D76597"/>
    <w:rsid w:val="5E345B18"/>
    <w:rsid w:val="63604736"/>
    <w:rsid w:val="63681096"/>
    <w:rsid w:val="65EE3509"/>
    <w:rsid w:val="6CC431CF"/>
    <w:rsid w:val="6CD60491"/>
    <w:rsid w:val="6D05403F"/>
    <w:rsid w:val="71C051BF"/>
    <w:rsid w:val="740306E7"/>
    <w:rsid w:val="75D02165"/>
    <w:rsid w:val="7D5170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 w:asciiTheme="minorHAnsi" w:hAnsiTheme="minorHAnsi" w:cstheme="minorBidi"/>
      <w:kern w:val="2"/>
      <w:sz w:val="32"/>
      <w:szCs w:val="32"/>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12304;&#20449;&#24687;&#20844;&#24320;&#24180;&#24230;&#25253;&#21578;&#12305;\&#12304;&#27169;&#26495;&#12305;&#27167;&#26641;&#24066;XXXX2021&#24180;&#25919;&#24220;&#20449;&#24687;&#20844;&#24320;&#24037;&#20316;&#24180;&#24230;&#25253;&#21578;.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【模板】樟树市XXXX2021年政府信息公开工作年度报告.dotx</Template>
  <Pages>5</Pages>
  <Words>2251</Words>
  <Characters>2359</Characters>
  <Lines>0</Lines>
  <Paragraphs>0</Paragraphs>
  <TotalTime>0</TotalTime>
  <ScaleCrop>false</ScaleCrop>
  <LinksUpToDate>false</LinksUpToDate>
  <CharactersWithSpaces>2362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2021-12-23T00:52:00Z</dcterms:created>
  <dc:creator>Administrator</dc:creator>
  <cp:lastModifiedBy>秋天的童话</cp:lastModifiedBy>
  <dcterms:modified xsi:type="dcterms:W3CDTF">2023-01-13T08:23:04Z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2A398CC1022E48918117772E01045EDC</vt:lpwstr>
  </property>
</Properties>
</file>