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292" w:afterLines="50" w:line="5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樟树市张家山街道2022年政府信息公开工作</w:t>
      </w:r>
    </w:p>
    <w:p>
      <w:pPr>
        <w:keepNext w:val="0"/>
        <w:keepLines w:val="0"/>
        <w:pageBreakBefore w:val="0"/>
        <w:widowControl w:val="0"/>
        <w:kinsoku/>
        <w:wordWrap/>
        <w:overflowPunct/>
        <w:topLinePunct w:val="0"/>
        <w:autoSpaceDE/>
        <w:autoSpaceDN/>
        <w:bidi w:val="0"/>
        <w:adjustRightInd/>
        <w:snapToGrid/>
        <w:spacing w:after="292" w:afterLines="50" w:line="52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年度报告</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本报告依据《中华人民共和国政府信息公开条例》（国务院令第711号，以下简称新《条例》）和《国务院办公厅政府信息与政务公开办公室关于政府信息公开工作年度报告有关事项的通知》（国办公开办函〔2019〕60号）要求，由本街道结合樟树市人民政府网站、樟树市政府信息公开平台等有关统计数据编制。本年度报告中所列数据的统计期限自2022年1月1日起至2022年12月31日止。全文包括总体情况，行政机关主动公开政府信息情况，行政机关收到和处理政府信息公开申请情况，因政府信息公开工作被申请行政复议、提起行政诉讼情况，政府信息公开工作存在的主要问题及改进情况，其他需要报告的事项共六部分组成。本年度报告的电子版可以从樟树市人民政府网站（http://www.zhangshu.gov.cn）下载。如</w:t>
      </w:r>
      <w:bookmarkStart w:id="0" w:name="_GoBack"/>
      <w:bookmarkEnd w:id="0"/>
      <w:r>
        <w:rPr>
          <w:rFonts w:hint="eastAsia" w:ascii="仿宋" w:hAnsi="仿宋" w:eastAsia="仿宋_GB2312" w:cs="仿宋"/>
          <w:sz w:val="32"/>
          <w:szCs w:val="32"/>
          <w:lang w:val="en-US" w:eastAsia="zh-CN"/>
        </w:rPr>
        <w:t>对本报告有任何疑问，请与张家山街道办事处党政办联系（地址：张家山街道清江大道118号，电话：0795-7851006，邮编：331208）。</w:t>
      </w:r>
    </w:p>
    <w:p>
      <w:pPr>
        <w:keepNext w:val="0"/>
        <w:keepLines w:val="0"/>
        <w:pageBreakBefore w:val="0"/>
        <w:widowControl/>
        <w:kinsoku/>
        <w:wordWrap/>
        <w:overflowPunct/>
        <w:topLinePunct w:val="0"/>
        <w:autoSpaceDE/>
        <w:autoSpaceDN/>
        <w:bidi w:val="0"/>
        <w:adjustRightInd/>
        <w:snapToGrid/>
        <w:spacing w:line="520" w:lineRule="exact"/>
        <w:ind w:firstLine="630"/>
        <w:textAlignment w:val="auto"/>
        <w:rPr>
          <w:rFonts w:hint="eastAsia" w:ascii="仿宋" w:hAnsi="仿宋" w:eastAsia="仿宋_GB2312" w:cs="仿宋"/>
          <w:sz w:val="32"/>
          <w:szCs w:val="32"/>
          <w:lang w:val="en-US" w:eastAsia="zh-CN"/>
        </w:rPr>
      </w:pPr>
      <w:r>
        <w:rPr>
          <w:rFonts w:hint="eastAsia" w:ascii="黑体" w:hAnsi="黑体" w:eastAsia="黑体" w:cs="黑体"/>
          <w:sz w:val="32"/>
          <w:szCs w:val="32"/>
          <w:lang w:val="en-US" w:eastAsia="zh-CN"/>
        </w:rPr>
        <w:t>一、总体情况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2022年，张家山街道街道认真贯彻落实《中华人民共和国政府信息公开条例》和国家、江西省、宜春市关于政府信息公开工作的要求，与街道的实际情况相结合，进一步加强政府信息公开工作的组织领导，不断完善政府信息公开配套制度和工作规范，确保我街道政府信息公开工作顺利进行，切实保障了人民群众的知情权、参与权、监督权。</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（一）主动公开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按照《条例》要求，结合实际工作内容，我街道及时发布政府信息，不断改进工作作风，方便群众办事和监督。2022年我街道共公开政府信息</w:t>
      </w:r>
      <w:r>
        <w:rPr>
          <w:rFonts w:hint="eastAsia" w:ascii="仿宋" w:hAnsi="仿宋" w:eastAsia="仿宋_GB2312" w:cs="仿宋"/>
          <w:color w:val="auto"/>
          <w:sz w:val="32"/>
          <w:szCs w:val="32"/>
          <w:lang w:val="en-US" w:eastAsia="zh-CN"/>
        </w:rPr>
        <w:t>196</w:t>
      </w:r>
      <w:r>
        <w:rPr>
          <w:rFonts w:hint="eastAsia" w:ascii="仿宋" w:hAnsi="仿宋" w:eastAsia="仿宋_GB2312" w:cs="仿宋"/>
          <w:sz w:val="32"/>
          <w:szCs w:val="32"/>
          <w:lang w:val="en-US" w:eastAsia="zh-CN"/>
        </w:rPr>
        <w:t>条，其中公示公告22条、政策文件8条、工作动态59条、概况信息31条、财政直达资金29条、计划总结2条、财政预决算5条。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（二）依申请公开</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仿宋" w:hAnsi="仿宋" w:eastAsia="仿宋_GB2312" w:cs="仿宋"/>
          <w:sz w:val="32"/>
          <w:szCs w:val="32"/>
          <w:lang w:val="en-US" w:eastAsia="zh-CN"/>
        </w:rPr>
      </w:pPr>
      <w:r>
        <w:rPr>
          <w:rFonts w:hint="eastAsia" w:ascii="仿宋" w:hAnsi="仿宋" w:eastAsia="仿宋_GB2312" w:cs="仿宋"/>
          <w:sz w:val="32"/>
          <w:szCs w:val="32"/>
          <w:lang w:val="en-US" w:eastAsia="zh-CN"/>
        </w:rPr>
        <w:t>我街道高度重视依申请公开工作，积极完善依申请公开管理，按照要求依申请公开受理机构、受理时间、申请程序、监督方式、答复时限等方面的相关规定和信息进行公开，建立接收、办理、答复、建档等工作机制，全面规范依申请公开过程，2022年度通过政府网站收到政府信息公开申请0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outlineLvl w:val="9"/>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（三）政府信息管理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一是加强组织领导。明确政务公开的内容、形式和制度，由街道主要领导亲自抓，分管负责人具体抓，业务人员落实。要求各部门协调配合，及时提供相关信息。二是严格把关审查。对拟公开的信息先审后发，严把政治关、法律关、政策关、保密关、文字关，坚决杜绝信息更新不及时、发布存在严重表述错误等问题的发生。三是紧盯重点领域。及时发布更新政策文件解读、乡村振兴、招商引资、社会救助等重点领域内容，确保政府权力运行公开透明。</w:t>
      </w:r>
    </w:p>
    <w:p>
      <w:pPr>
        <w:keepNext w:val="0"/>
        <w:keepLines w:val="0"/>
        <w:pageBreakBefore w:val="0"/>
        <w:kinsoku/>
        <w:wordWrap/>
        <w:overflowPunct/>
        <w:topLinePunct w:val="0"/>
        <w:autoSpaceDE/>
        <w:autoSpaceDN/>
        <w:bidi w:val="0"/>
        <w:adjustRightInd/>
        <w:snapToGrid/>
        <w:spacing w:beforeLines="30" w:afterLines="20" w:line="520" w:lineRule="exact"/>
        <w:ind w:firstLine="640" w:firstLineChars="200"/>
        <w:textAlignment w:val="auto"/>
        <w:rPr>
          <w:rFonts w:hint="eastAsia" w:ascii="黑体" w:hAnsi="黑体" w:eastAsia="黑体" w:cs="黑体"/>
          <w:sz w:val="24"/>
          <w:szCs w:val="32"/>
        </w:rPr>
      </w:pPr>
      <w:r>
        <w:rPr>
          <w:rFonts w:hint="eastAsia" w:ascii="楷体" w:hAnsi="楷体" w:eastAsia="楷体" w:cs="楷体"/>
          <w:b/>
          <w:bCs/>
          <w:sz w:val="32"/>
          <w:szCs w:val="32"/>
          <w:lang w:val="en-US" w:eastAsia="zh-CN"/>
        </w:rPr>
        <w:t>（四）政府信息公开平台建设</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为进一步整合门户网站公开内容，梳理完善并规范公开街道21项领域的基层政务公开标准目录，按照创建十县百乡试点工作要求，加大对便民服务中心建设力度，集中一个月的时间对政务公开专区进行扩建改造，规范公开了行政审批权、公共服务事项、便民服务事项等相关信息。线上对政务公开网站实行常态化管理，明确专人负责发布与维护各个领域相关信息，对无发布内容的栏目及时发布情况说明，确保网站内容发布准确、权威、及时、便民。</w:t>
      </w:r>
    </w:p>
    <w:p>
      <w:pPr>
        <w:keepNext w:val="0"/>
        <w:keepLines w:val="0"/>
        <w:pageBreakBefore w:val="0"/>
        <w:kinsoku/>
        <w:wordWrap/>
        <w:overflowPunct/>
        <w:topLinePunct w:val="0"/>
        <w:autoSpaceDE/>
        <w:autoSpaceDN/>
        <w:bidi w:val="0"/>
        <w:adjustRightInd/>
        <w:snapToGrid/>
        <w:spacing w:beforeLines="30" w:afterLines="20" w:line="520" w:lineRule="exact"/>
        <w:ind w:firstLine="640" w:firstLineChars="200"/>
        <w:textAlignment w:val="auto"/>
        <w:rPr>
          <w:rFonts w:hint="eastAsia" w:ascii="黑体" w:hAnsi="黑体" w:eastAsia="黑体" w:cs="黑体"/>
          <w:sz w:val="24"/>
          <w:szCs w:val="32"/>
        </w:rPr>
      </w:pPr>
      <w:r>
        <w:rPr>
          <w:rFonts w:hint="eastAsia" w:ascii="楷体" w:hAnsi="楷体" w:eastAsia="楷体" w:cs="楷体"/>
          <w:b/>
          <w:bCs/>
          <w:sz w:val="32"/>
          <w:szCs w:val="32"/>
          <w:lang w:val="en-US" w:eastAsia="zh-CN"/>
        </w:rPr>
        <w:t>（五）监督保障</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规范政务信息公开工作，健全相关监督保障制度，建立政府网站信息上传与审核发布责任制，所有公布的信息需经单位领导审阅签字后，再由办公室统一审核发布。通过设置意见箱、监督建议电话、发放评议表等，主动接受社会监督建议，及时对群众提出的疑问及时作出解释，对群众提出的建议积极予以采纳，对群众反映的问题认真核实。</w:t>
      </w:r>
    </w:p>
    <w:p>
      <w:pPr>
        <w:keepNext w:val="0"/>
        <w:keepLines w:val="0"/>
        <w:pageBreakBefore w:val="0"/>
        <w:widowControl/>
        <w:kinsoku/>
        <w:wordWrap/>
        <w:overflowPunct/>
        <w:topLinePunct w:val="0"/>
        <w:autoSpaceDE/>
        <w:autoSpaceDN/>
        <w:bidi w:val="0"/>
        <w:adjustRightInd/>
        <w:snapToGrid/>
        <w:spacing w:line="520" w:lineRule="exact"/>
        <w:ind w:firstLine="63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二、行政机关主动公开政府信息情况</w:t>
      </w:r>
    </w:p>
    <w:tbl>
      <w:tblPr>
        <w:tblStyle w:val="5"/>
        <w:tblW w:w="9039" w:type="dxa"/>
        <w:jc w:val="center"/>
        <w:tblLayout w:type="fixed"/>
        <w:tblCellMar>
          <w:top w:w="0" w:type="dxa"/>
          <w:left w:w="0" w:type="dxa"/>
          <w:bottom w:w="0" w:type="dxa"/>
          <w:right w:w="0" w:type="dxa"/>
        </w:tblCellMar>
      </w:tblPr>
      <w:tblGrid>
        <w:gridCol w:w="1734"/>
        <w:gridCol w:w="2435"/>
        <w:gridCol w:w="2435"/>
        <w:gridCol w:w="2435"/>
      </w:tblGrid>
      <w:tr>
        <w:tblPrEx>
          <w:tblCellMar>
            <w:top w:w="0" w:type="dxa"/>
            <w:left w:w="0" w:type="dxa"/>
            <w:bottom w:w="0" w:type="dxa"/>
            <w:right w:w="0" w:type="dxa"/>
          </w:tblCellMar>
        </w:tblPrEx>
        <w:trPr>
          <w:trHeight w:val="340" w:hRule="atLeast"/>
          <w:jc w:val="center"/>
        </w:trPr>
        <w:tc>
          <w:tcPr>
            <w:tcW w:w="9039" w:type="dxa"/>
            <w:gridSpan w:val="4"/>
            <w:tcBorders>
              <w:top w:val="single" w:color="auto" w:sz="8" w:space="0"/>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第二十条第（一）项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本年</w:t>
            </w:r>
            <w:r>
              <w:rPr>
                <w:rFonts w:hint="eastAsia" w:ascii="宋体" w:hAnsi="宋体" w:eastAsia="宋体" w:cs="宋体"/>
                <w:kern w:val="0"/>
                <w:sz w:val="20"/>
                <w:szCs w:val="20"/>
              </w:rPr>
              <w:t>制发件数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本年废止件数</w:t>
            </w:r>
          </w:p>
        </w:tc>
        <w:tc>
          <w:tcPr>
            <w:tcW w:w="2435"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现行有效件</w:t>
            </w:r>
            <w:r>
              <w:rPr>
                <w:rFonts w:hint="eastAsia" w:ascii="宋体" w:hAnsi="宋体" w:eastAsia="宋体" w:cs="宋体"/>
                <w:kern w:val="0"/>
                <w:sz w:val="20"/>
                <w:szCs w:val="20"/>
              </w:rPr>
              <w:t>数</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color w:val="000000"/>
                <w:kern w:val="0"/>
                <w:sz w:val="20"/>
                <w:szCs w:val="20"/>
              </w:rPr>
              <w:t>规章</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color w:val="000000"/>
                <w:kern w:val="0"/>
                <w:sz w:val="20"/>
                <w:szCs w:val="20"/>
              </w:rPr>
              <w:t>行政规范性文件</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c>
          <w:tcPr>
            <w:tcW w:w="2435"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第二十条第（五）项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color w:val="000000"/>
                <w:kern w:val="0"/>
                <w:sz w:val="20"/>
                <w:szCs w:val="20"/>
              </w:rPr>
              <w:t>行政许可</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第二十条第（六）项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信息内容</w:t>
            </w:r>
          </w:p>
        </w:tc>
        <w:tc>
          <w:tcPr>
            <w:tcW w:w="7305" w:type="dxa"/>
            <w:gridSpan w:val="3"/>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本年处理决定数量</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color w:val="000000"/>
                <w:kern w:val="0"/>
                <w:sz w:val="20"/>
                <w:szCs w:val="20"/>
              </w:rPr>
              <w:t>行政处罚</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color w:val="000000"/>
                <w:kern w:val="0"/>
                <w:sz w:val="20"/>
                <w:szCs w:val="20"/>
              </w:rPr>
              <w:t>行政强制</w:t>
            </w:r>
          </w:p>
        </w:tc>
        <w:tc>
          <w:tcPr>
            <w:tcW w:w="7305" w:type="dxa"/>
            <w:gridSpan w:val="3"/>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color w:val="000000"/>
                <w:kern w:val="0"/>
                <w:sz w:val="20"/>
                <w:szCs w:val="20"/>
                <w:lang w:val="en-US" w:eastAsia="zh-CN"/>
              </w:rPr>
            </w:pPr>
            <w:r>
              <w:rPr>
                <w:rFonts w:hint="eastAsia" w:ascii="宋体" w:hAnsi="宋体" w:eastAsia="宋体" w:cs="宋体"/>
                <w:color w:val="000000"/>
                <w:kern w:val="0"/>
                <w:sz w:val="20"/>
                <w:szCs w:val="20"/>
                <w:lang w:val="en-US" w:eastAsia="zh-CN"/>
              </w:rPr>
              <w:t>0　</w:t>
            </w:r>
          </w:p>
        </w:tc>
      </w:tr>
      <w:tr>
        <w:tblPrEx>
          <w:tblCellMar>
            <w:top w:w="0" w:type="dxa"/>
            <w:left w:w="0" w:type="dxa"/>
            <w:bottom w:w="0" w:type="dxa"/>
            <w:right w:w="0" w:type="dxa"/>
          </w:tblCellMar>
        </w:tblPrEx>
        <w:trPr>
          <w:trHeight w:val="340" w:hRule="atLeast"/>
          <w:jc w:val="center"/>
        </w:trPr>
        <w:tc>
          <w:tcPr>
            <w:tcW w:w="9039" w:type="dxa"/>
            <w:gridSpan w:val="4"/>
            <w:tcBorders>
              <w:top w:val="nil"/>
              <w:left w:val="single" w:color="auto" w:sz="8" w:space="0"/>
              <w:bottom w:val="single" w:color="auto" w:sz="8" w:space="0"/>
              <w:right w:val="single" w:color="auto" w:sz="8" w:space="0"/>
            </w:tcBorders>
            <w:shd w:val="clear" w:color="auto" w:fill="C6D9F1"/>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第二十条第（八）项</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信息内容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color w:val="000000"/>
                <w:kern w:val="0"/>
                <w:sz w:val="20"/>
                <w:szCs w:val="20"/>
              </w:rPr>
              <w:t>本年收费金额（单位：万元）</w:t>
            </w:r>
          </w:p>
        </w:tc>
      </w:tr>
      <w:tr>
        <w:tblPrEx>
          <w:tblCellMar>
            <w:top w:w="0" w:type="dxa"/>
            <w:left w:w="0" w:type="dxa"/>
            <w:bottom w:w="0" w:type="dxa"/>
            <w:right w:w="0" w:type="dxa"/>
          </w:tblCellMar>
        </w:tblPrEx>
        <w:trPr>
          <w:trHeight w:val="340" w:hRule="atLeast"/>
          <w:jc w:val="center"/>
        </w:trPr>
        <w:tc>
          <w:tcPr>
            <w:tcW w:w="1734" w:type="dxa"/>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color w:val="000000"/>
                <w:kern w:val="0"/>
                <w:sz w:val="20"/>
                <w:szCs w:val="20"/>
              </w:rPr>
              <w:t>行政事业性收费</w:t>
            </w:r>
          </w:p>
        </w:tc>
        <w:tc>
          <w:tcPr>
            <w:tcW w:w="7305" w:type="dxa"/>
            <w:gridSpan w:val="3"/>
            <w:tcBorders>
              <w:top w:val="nil"/>
              <w:left w:val="nil"/>
              <w:bottom w:val="single" w:color="auto" w:sz="8" w:space="0"/>
              <w:right w:val="single" w:color="000000" w:sz="8" w:space="0"/>
            </w:tcBorders>
            <w:shd w:val="clear" w:color="auto" w:fill="auto"/>
            <w:tcMar>
              <w:left w:w="57" w:type="dxa"/>
              <w:right w:w="57" w:type="dxa"/>
            </w:tcMar>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default" w:ascii="宋体" w:eastAsiaTheme="minorEastAsia"/>
                <w:sz w:val="24"/>
                <w:lang w:val="en-US" w:eastAsia="zh-CN"/>
              </w:rPr>
            </w:pPr>
            <w:r>
              <w:rPr>
                <w:rFonts w:hint="eastAsia" w:ascii="宋体" w:hAnsi="宋体" w:eastAsia="宋体" w:cs="宋体"/>
                <w:color w:val="000000"/>
                <w:kern w:val="0"/>
                <w:sz w:val="20"/>
                <w:szCs w:val="20"/>
                <w:lang w:val="en-US" w:eastAsia="zh-CN"/>
              </w:rPr>
              <w:t>0</w:t>
            </w:r>
          </w:p>
        </w:tc>
      </w:tr>
    </w:tbl>
    <w:p>
      <w:pPr>
        <w:keepNext w:val="0"/>
        <w:keepLines w:val="0"/>
        <w:pageBreakBefore w:val="0"/>
        <w:widowControl/>
        <w:kinsoku/>
        <w:wordWrap/>
        <w:overflowPunct/>
        <w:topLinePunct w:val="0"/>
        <w:autoSpaceDE/>
        <w:autoSpaceDN/>
        <w:bidi w:val="0"/>
        <w:adjustRightInd/>
        <w:snapToGrid/>
        <w:spacing w:line="520" w:lineRule="exact"/>
        <w:ind w:firstLine="63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三、行政机关收到和处理政府信息公开申请情况</w:t>
      </w:r>
    </w:p>
    <w:tbl>
      <w:tblPr>
        <w:tblStyle w:val="5"/>
        <w:tblW w:w="90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818"/>
        <w:gridCol w:w="835"/>
        <w:gridCol w:w="2579"/>
        <w:gridCol w:w="688"/>
        <w:gridCol w:w="688"/>
        <w:gridCol w:w="688"/>
        <w:gridCol w:w="688"/>
        <w:gridCol w:w="688"/>
        <w:gridCol w:w="688"/>
        <w:gridCol w:w="68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restart"/>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ascii="楷体" w:hAnsi="楷体" w:eastAsia="楷体" w:cs="楷体"/>
                <w:kern w:val="0"/>
                <w:sz w:val="20"/>
                <w:szCs w:val="20"/>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688" w:type="dxa"/>
            <w:vMerge w:val="restart"/>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法人或其他组织</w:t>
            </w:r>
          </w:p>
        </w:tc>
        <w:tc>
          <w:tcPr>
            <w:tcW w:w="688" w:type="dxa"/>
            <w:vMerge w:val="restart"/>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vMerge w:val="continue"/>
            <w:tcBorders>
              <w:top w:val="single" w:color="auto" w:sz="8" w:space="0"/>
              <w:left w:val="single" w:color="auto" w:sz="8" w:space="0"/>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688" w:type="dxa"/>
            <w:vMerge w:val="continue"/>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商业</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企业</w:t>
            </w:r>
          </w:p>
        </w:tc>
        <w:tc>
          <w:tcPr>
            <w:tcW w:w="688" w:type="dxa"/>
            <w:tcBorders>
              <w:top w:val="nil"/>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科研</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pPr>
            <w:r>
              <w:rPr>
                <w:rFonts w:hint="eastAsia" w:ascii="宋体" w:hAnsi="宋体" w:eastAsia="宋体" w:cs="宋体"/>
                <w:kern w:val="0"/>
                <w:sz w:val="20"/>
                <w:szCs w:val="20"/>
              </w:rPr>
              <w:t>其他</w:t>
            </w:r>
          </w:p>
        </w:tc>
        <w:tc>
          <w:tcPr>
            <w:tcW w:w="688" w:type="dxa"/>
            <w:vMerge w:val="continue"/>
            <w:tcBorders>
              <w:top w:val="single" w:color="auto" w:sz="8" w:space="0"/>
              <w:left w:val="nil"/>
              <w:bottom w:val="outset" w:color="auto" w:sz="8" w:space="0"/>
              <w:right w:val="single" w:color="auto" w:sz="8" w:space="0"/>
            </w:tcBorders>
            <w:shd w:val="clear" w:color="auto" w:fill="auto"/>
            <w:tcMar>
              <w:left w:w="108" w:type="dxa"/>
              <w:right w:w="108"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restart"/>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三、本年度办理结果</w:t>
            </w: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（一）予以公开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（二）部分公开</w:t>
            </w:r>
            <w:r>
              <w:rPr>
                <w:rFonts w:hint="eastAsia" w:ascii="楷体" w:hAnsi="楷体" w:eastAsia="楷体" w:cs="楷体"/>
                <w:kern w:val="0"/>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（三）不予公开</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1.属于国家秘密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single" w:color="auto" w:sz="8" w:space="0"/>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2.其他法律行政法规禁止公开</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3.危及“三安全一稳定”</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4.保护第三方合法权益</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5.属于三类内部事务信息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6.属于四类过程性信息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7.属于行政执法案卷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8.属于行政查询事项</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（四）无法提供</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1.本机关不掌握相关政府信息</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2.没有现成信息需要另行制作</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3.补正后申请内容仍不明确</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restart"/>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（五）不予处理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1.信访举报投诉类申请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2.重复申请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3.要求提供公开出版物</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4.无正当理由大量反复申请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pPr>
            <w:r>
              <w:rPr>
                <w:rFonts w:hint="eastAsia" w:ascii="宋体" w:hAnsi="宋体" w:eastAsia="宋体" w:cs="宋体"/>
                <w:kern w:val="0"/>
                <w:sz w:val="20"/>
                <w:szCs w:val="20"/>
              </w:rPr>
              <w:t>5.要求行政机关确认或重新出具已获取信息</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restart"/>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（六）其他处理</w:t>
            </w: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pPr>
            <w:r>
              <w:rPr>
                <w:rFonts w:hint="eastAsia" w:ascii="宋体" w:hAnsi="宋体" w:eastAsia="宋体" w:cs="宋体"/>
                <w:kern w:val="0"/>
                <w:sz w:val="20"/>
                <w:szCs w:val="20"/>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pPr>
            <w:r>
              <w:rPr>
                <w:rFonts w:hint="eastAsia" w:ascii="宋体" w:hAnsi="宋体" w:eastAsia="宋体" w:cs="宋体"/>
                <w:kern w:val="0"/>
                <w:sz w:val="20"/>
                <w:szCs w:val="20"/>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835" w:type="dxa"/>
            <w:vMerge w:val="continue"/>
            <w:tcBorders>
              <w:top w:val="outset" w:color="auto" w:sz="8" w:space="0"/>
              <w:left w:val="nil"/>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2579"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3.其他</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default"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818" w:type="dxa"/>
            <w:vMerge w:val="continue"/>
            <w:tcBorders>
              <w:top w:val="nil"/>
              <w:left w:val="single" w:color="auto" w:sz="8" w:space="0"/>
              <w:bottom w:val="outset"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textAlignment w:val="auto"/>
              <w:rPr>
                <w:rFonts w:ascii="宋体"/>
                <w:sz w:val="24"/>
              </w:rPr>
            </w:pPr>
          </w:p>
        </w:tc>
        <w:tc>
          <w:tcPr>
            <w:tcW w:w="3414" w:type="dxa"/>
            <w:gridSpan w:val="2"/>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（七）总计</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232" w:type="dxa"/>
            <w:gridSpan w:val="3"/>
            <w:tcBorders>
              <w:top w:val="nil"/>
              <w:left w:val="single" w:color="auto" w:sz="8" w:space="0"/>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left"/>
              <w:textAlignment w:val="auto"/>
            </w:pPr>
            <w:r>
              <w:rPr>
                <w:rFonts w:hint="eastAsia" w:ascii="宋体" w:hAnsi="宋体" w:eastAsia="宋体" w:cs="宋体"/>
                <w:kern w:val="0"/>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88" w:type="dxa"/>
            <w:tcBorders>
              <w:top w:val="nil"/>
              <w:left w:val="nil"/>
              <w:bottom w:val="single" w:color="auto" w:sz="8" w:space="0"/>
              <w:right w:val="single" w:color="auto" w:sz="8" w:space="0"/>
            </w:tcBorders>
            <w:shd w:val="clear" w:color="auto" w:fill="auto"/>
            <w:tcMar>
              <w:left w:w="57" w:type="dxa"/>
              <w:right w:w="57"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keepNext w:val="0"/>
        <w:keepLines w:val="0"/>
        <w:pageBreakBefore w:val="0"/>
        <w:widowControl/>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四、因政府信息公开工作被申请行政复议、提起行政诉讼情况</w:t>
      </w:r>
    </w:p>
    <w:tbl>
      <w:tblPr>
        <w:tblStyle w:val="6"/>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619"/>
        <w:gridCol w:w="619"/>
        <w:gridCol w:w="619"/>
        <w:gridCol w:w="619"/>
        <w:gridCol w:w="619"/>
        <w:gridCol w:w="619"/>
        <w:gridCol w:w="619"/>
        <w:gridCol w:w="619"/>
        <w:gridCol w:w="619"/>
        <w:gridCol w:w="619"/>
        <w:gridCol w:w="619"/>
        <w:gridCol w:w="619"/>
        <w:gridCol w:w="620"/>
        <w:gridCol w:w="620"/>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3095" w:type="dxa"/>
            <w:gridSpan w:val="5"/>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行政复议</w:t>
            </w:r>
          </w:p>
        </w:tc>
        <w:tc>
          <w:tcPr>
            <w:tcW w:w="6193" w:type="dxa"/>
            <w:gridSpan w:val="10"/>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结果维持</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纠正</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审结</w:t>
            </w:r>
          </w:p>
        </w:tc>
        <w:tc>
          <w:tcPr>
            <w:tcW w:w="619" w:type="dxa"/>
            <w:vMerge w:val="restart"/>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总计</w:t>
            </w:r>
          </w:p>
        </w:tc>
        <w:tc>
          <w:tcPr>
            <w:tcW w:w="3095" w:type="dxa"/>
            <w:gridSpan w:val="5"/>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未经复议直接起诉</w:t>
            </w:r>
          </w:p>
        </w:tc>
        <w:tc>
          <w:tcPr>
            <w:tcW w:w="3098" w:type="dxa"/>
            <w:gridSpan w:val="5"/>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p>
        </w:tc>
        <w:tc>
          <w:tcPr>
            <w:tcW w:w="619" w:type="dxa"/>
            <w:vMerge w:val="continue"/>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维持</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纠正</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审结</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总计</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维持</w:t>
            </w:r>
          </w:p>
        </w:tc>
        <w:tc>
          <w:tcPr>
            <w:tcW w:w="619"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结果</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纠正</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其他</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结果</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eastAsia="zh-CN"/>
              </w:rPr>
            </w:pPr>
            <w:r>
              <w:rPr>
                <w:rFonts w:hint="eastAsia" w:ascii="宋体" w:hAnsi="宋体" w:eastAsia="宋体" w:cs="宋体"/>
                <w:kern w:val="0"/>
                <w:sz w:val="20"/>
                <w:szCs w:val="20"/>
              </w:rPr>
              <w:t>尚未</w:t>
            </w:r>
          </w:p>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审结</w:t>
            </w:r>
          </w:p>
        </w:tc>
        <w:tc>
          <w:tcPr>
            <w:tcW w:w="620" w:type="dxa"/>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auto"/>
              <w:rPr>
                <w:rFonts w:ascii="宋体" w:hAnsi="宋体" w:eastAsia="宋体" w:cs="宋体"/>
                <w:kern w:val="0"/>
                <w:sz w:val="20"/>
                <w:szCs w:val="20"/>
              </w:rPr>
            </w:pPr>
            <w:r>
              <w:rPr>
                <w:rFonts w:hint="eastAsia" w:ascii="宋体" w:hAnsi="宋体" w:eastAsia="宋体" w:cs="宋体"/>
                <w:kern w:val="0"/>
                <w:sz w:val="20"/>
                <w:szCs w:val="2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jc w:val="center"/>
        </w:trPr>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19"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c>
          <w:tcPr>
            <w:tcW w:w="620" w:type="dxa"/>
            <w:vAlign w:val="center"/>
          </w:tcPr>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宋体" w:hAnsi="宋体" w:eastAsia="宋体" w:cs="宋体"/>
                <w:kern w:val="0"/>
                <w:sz w:val="20"/>
                <w:szCs w:val="20"/>
                <w:lang w:val="en-US" w:eastAsia="zh-CN"/>
              </w:rPr>
            </w:pPr>
            <w:r>
              <w:rPr>
                <w:rFonts w:hint="eastAsia" w:ascii="宋体" w:hAnsi="宋体" w:eastAsia="宋体" w:cs="宋体"/>
                <w:kern w:val="0"/>
                <w:sz w:val="20"/>
                <w:szCs w:val="20"/>
                <w:lang w:val="en-US" w:eastAsia="zh-CN"/>
              </w:rPr>
              <w:t>0</w:t>
            </w:r>
          </w:p>
        </w:tc>
      </w:tr>
    </w:tbl>
    <w:p>
      <w:pPr>
        <w:keepNext w:val="0"/>
        <w:keepLines w:val="0"/>
        <w:pageBreakBefore w:val="0"/>
        <w:widowControl/>
        <w:kinsoku/>
        <w:wordWrap/>
        <w:overflowPunct/>
        <w:topLinePunct w:val="0"/>
        <w:autoSpaceDE/>
        <w:autoSpaceDN/>
        <w:bidi w:val="0"/>
        <w:adjustRightInd/>
        <w:snapToGrid/>
        <w:spacing w:line="520" w:lineRule="exact"/>
        <w:ind w:firstLine="630"/>
        <w:textAlignment w:val="auto"/>
        <w:rPr>
          <w:rFonts w:hint="eastAsia" w:ascii="仿宋" w:hAnsi="仿宋" w:eastAsia="仿宋_GB2312" w:cs="仿宋"/>
          <w:sz w:val="32"/>
          <w:szCs w:val="32"/>
          <w:lang w:val="en-US" w:eastAsia="zh-CN"/>
        </w:rPr>
      </w:pPr>
      <w:r>
        <w:rPr>
          <w:rFonts w:hint="eastAsia" w:ascii="黑体" w:hAnsi="黑体" w:eastAsia="黑体" w:cs="黑体"/>
          <w:sz w:val="32"/>
          <w:szCs w:val="32"/>
          <w:lang w:val="en-US" w:eastAsia="zh-CN"/>
        </w:rPr>
        <w:t>五、政府信息公开工作存在的主要问题及改进情况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5"/>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（一）存在问题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1、部分信息公开不够及时，街道部门较多，信息运转不及时导致更新滞后。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2、公开的栏目内容不够丰富、形式较为单一，如政策解读缺乏卡通动漫等群众喜闻乐见的解读方式。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3、自查自纠能力不足，第三方检测发现问题较多。</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楷体" w:hAnsi="楷体" w:eastAsia="楷体" w:cs="楷体"/>
          <w:b/>
          <w:bCs/>
          <w:kern w:val="2"/>
          <w:sz w:val="32"/>
          <w:szCs w:val="32"/>
          <w:lang w:val="en-US" w:eastAsia="zh-CN" w:bidi="ar-SA"/>
        </w:rPr>
      </w:pPr>
      <w:r>
        <w:rPr>
          <w:rFonts w:hint="eastAsia" w:ascii="楷体" w:hAnsi="楷体" w:eastAsia="楷体" w:cs="楷体"/>
          <w:b/>
          <w:bCs/>
          <w:kern w:val="2"/>
          <w:sz w:val="32"/>
          <w:szCs w:val="32"/>
          <w:lang w:val="en-US" w:eastAsia="zh-CN" w:bidi="ar-SA"/>
        </w:rPr>
        <w:t>（二）改进措施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left"/>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一是提高思想认识，积极开展政务公开工作。加强对政府信息公开工作的重视程度，加大工作力度，变被动为主动，对于各部门日常需要公开的信息，要和部门具办人员沟通好，确保及时获得信息。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left"/>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二是加强业务培训，提高政务公开工作质量和水平。定期开展政务公开业务培训会，不断提高政务公开工作人员的综合素质和业务能力。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646"/>
        <w:jc w:val="left"/>
        <w:textAlignment w:val="auto"/>
        <w:rPr>
          <w:rFonts w:hint="eastAsia" w:ascii="仿宋" w:hAnsi="仿宋" w:eastAsia="仿宋_GB2312" w:cs="仿宋"/>
          <w:kern w:val="2"/>
          <w:sz w:val="32"/>
          <w:szCs w:val="32"/>
          <w:lang w:val="en-US" w:eastAsia="zh-CN" w:bidi="ar-SA"/>
        </w:rPr>
      </w:pPr>
      <w:r>
        <w:rPr>
          <w:rFonts w:hint="eastAsia" w:ascii="仿宋" w:hAnsi="仿宋" w:eastAsia="仿宋_GB2312" w:cs="仿宋"/>
          <w:kern w:val="2"/>
          <w:sz w:val="32"/>
          <w:szCs w:val="32"/>
          <w:lang w:val="en-US" w:eastAsia="zh-CN" w:bidi="ar-SA"/>
        </w:rPr>
        <w:t>三是加大监督检查力度，规范政务公开工作。对政务公开工作的开展情况实行目标考核，保障信息更新及时，内容规范。</w:t>
      </w:r>
    </w:p>
    <w:p>
      <w:pPr>
        <w:keepNext w:val="0"/>
        <w:keepLines w:val="0"/>
        <w:pageBreakBefore w:val="0"/>
        <w:widowControl/>
        <w:kinsoku/>
        <w:wordWrap/>
        <w:overflowPunct/>
        <w:topLinePunct w:val="0"/>
        <w:autoSpaceDE/>
        <w:autoSpaceDN/>
        <w:bidi w:val="0"/>
        <w:adjustRightInd/>
        <w:snapToGrid/>
        <w:spacing w:line="520" w:lineRule="exact"/>
        <w:ind w:firstLine="630"/>
        <w:textAlignment w:val="auto"/>
        <w:rPr>
          <w:rFonts w:hint="eastAsia" w:ascii="黑体" w:hAnsi="黑体" w:eastAsia="黑体"/>
          <w:bCs/>
          <w:kern w:val="0"/>
          <w:sz w:val="28"/>
          <w:szCs w:val="22"/>
        </w:rPr>
      </w:pPr>
      <w:r>
        <w:rPr>
          <w:rFonts w:hint="eastAsia" w:ascii="黑体" w:hAnsi="黑体" w:eastAsia="黑体"/>
          <w:bCs/>
          <w:kern w:val="0"/>
          <w:sz w:val="28"/>
          <w:szCs w:val="22"/>
        </w:rPr>
        <w:t>六、其他需要报告的事项</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eastAsia="仿宋_GB2312"/>
          <w:sz w:val="28"/>
          <w:szCs w:val="28"/>
          <w:lang w:val="en-US" w:eastAsia="zh-CN"/>
        </w:rPr>
      </w:pPr>
      <w:r>
        <w:rPr>
          <w:rFonts w:hint="eastAsia" w:ascii="仿宋" w:hAnsi="仿宋" w:eastAsia="仿宋_GB2312" w:cs="仿宋"/>
          <w:sz w:val="32"/>
          <w:szCs w:val="32"/>
          <w:lang w:val="en-US" w:eastAsia="zh-CN"/>
        </w:rPr>
        <w:t>2022年度，本机关无收取信息处理费情况。</w:t>
      </w:r>
    </w:p>
    <w:p>
      <w:pPr>
        <w:keepNext w:val="0"/>
        <w:keepLines w:val="0"/>
        <w:pageBreakBefore w:val="0"/>
        <w:kinsoku/>
        <w:wordWrap/>
        <w:overflowPunct/>
        <w:topLinePunct w:val="0"/>
        <w:autoSpaceDE/>
        <w:autoSpaceDN/>
        <w:bidi w:val="0"/>
        <w:adjustRightInd/>
        <w:snapToGrid/>
        <w:spacing w:line="520" w:lineRule="exact"/>
        <w:textAlignment w:val="auto"/>
      </w:pPr>
    </w:p>
    <w:sectPr>
      <w:pgSz w:w="11906" w:h="16838"/>
      <w:pgMar w:top="2098" w:right="1474" w:bottom="1984" w:left="1587" w:header="851" w:footer="992" w:gutter="0"/>
      <w:cols w:space="0" w:num="1"/>
      <w:rtlGutter w:val="0"/>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3MWE1OWI0MWZiZWMzOGY0YWQ3Njc1ODY0NjQ3ZjEifQ=="/>
  </w:docVars>
  <w:rsids>
    <w:rsidRoot w:val="00B54A83"/>
    <w:rsid w:val="003A2EDC"/>
    <w:rsid w:val="004179C7"/>
    <w:rsid w:val="0045752E"/>
    <w:rsid w:val="00665896"/>
    <w:rsid w:val="006858B3"/>
    <w:rsid w:val="006F0A43"/>
    <w:rsid w:val="007A7404"/>
    <w:rsid w:val="00881416"/>
    <w:rsid w:val="00913D5F"/>
    <w:rsid w:val="00AA162D"/>
    <w:rsid w:val="00B03755"/>
    <w:rsid w:val="00B54A83"/>
    <w:rsid w:val="00B80B6D"/>
    <w:rsid w:val="00DF4E71"/>
    <w:rsid w:val="00E41B53"/>
    <w:rsid w:val="00ED6DFC"/>
    <w:rsid w:val="045A7E93"/>
    <w:rsid w:val="0B3F4434"/>
    <w:rsid w:val="0C7071BF"/>
    <w:rsid w:val="0E29358E"/>
    <w:rsid w:val="15512E42"/>
    <w:rsid w:val="15EB0D9C"/>
    <w:rsid w:val="19973E34"/>
    <w:rsid w:val="1CB44478"/>
    <w:rsid w:val="1EF7500C"/>
    <w:rsid w:val="1F441528"/>
    <w:rsid w:val="223D3139"/>
    <w:rsid w:val="27821FBF"/>
    <w:rsid w:val="2F6C1CCD"/>
    <w:rsid w:val="3B757596"/>
    <w:rsid w:val="3BBF1D32"/>
    <w:rsid w:val="4A0F6290"/>
    <w:rsid w:val="4A4725AE"/>
    <w:rsid w:val="4A662573"/>
    <w:rsid w:val="4A934476"/>
    <w:rsid w:val="4B8628B2"/>
    <w:rsid w:val="53501C4B"/>
    <w:rsid w:val="57692AFF"/>
    <w:rsid w:val="59A57F6C"/>
    <w:rsid w:val="656C1F42"/>
    <w:rsid w:val="6D286FC5"/>
    <w:rsid w:val="72E804DE"/>
    <w:rsid w:val="73D33382"/>
    <w:rsid w:val="7FBA6FB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jc w:val="left"/>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页眉 Char"/>
    <w:basedOn w:val="7"/>
    <w:link w:val="3"/>
    <w:qFormat/>
    <w:uiPriority w:val="0"/>
    <w:rPr>
      <w:rFonts w:asciiTheme="minorHAnsi" w:hAnsiTheme="minorHAnsi" w:eastAsiaTheme="minorEastAsia" w:cstheme="minorBidi"/>
      <w:kern w:val="2"/>
      <w:sz w:val="18"/>
      <w:szCs w:val="18"/>
    </w:rPr>
  </w:style>
  <w:style w:type="character" w:customStyle="1" w:styleId="11">
    <w:name w:val="页脚 Char"/>
    <w:basedOn w:val="7"/>
    <w:link w:val="2"/>
    <w:qFormat/>
    <w:uiPriority w:val="0"/>
    <w:rPr>
      <w:rFonts w:asciiTheme="minorHAnsi" w:hAnsiTheme="minorHAnsi" w:eastAsiaTheme="minorEastAsia" w:cstheme="minorBidi"/>
      <w:kern w:val="2"/>
      <w:sz w:val="18"/>
      <w:szCs w:val="18"/>
    </w:rPr>
  </w:style>
  <w:style w:type="paragraph" w:customStyle="1" w:styleId="12">
    <w:name w:val="p12"/>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13">
    <w:name w:val="s6"/>
    <w:basedOn w:val="7"/>
    <w:qFormat/>
    <w:uiPriority w:val="0"/>
  </w:style>
  <w:style w:type="character" w:customStyle="1" w:styleId="14">
    <w:name w:val="s3"/>
    <w:basedOn w:val="7"/>
    <w:qFormat/>
    <w:uiPriority w:val="0"/>
  </w:style>
  <w:style w:type="character" w:customStyle="1" w:styleId="15">
    <w:name w:val="s2"/>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2642</Words>
  <Characters>2807</Characters>
  <Lines>19</Lines>
  <Paragraphs>5</Paragraphs>
  <TotalTime>0</TotalTime>
  <ScaleCrop>false</ScaleCrop>
  <LinksUpToDate>false</LinksUpToDate>
  <CharactersWithSpaces>2810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2022-01-19T09:31:00Z</dcterms:created>
  <dc:creator>lenovo</dc:creator>
  <cp:lastModifiedBy>米老头</cp:lastModifiedBy>
  <dcterms:modified xsi:type="dcterms:W3CDTF">2023-03-16T00:08:34Z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2FDBE43B4EA7437DB2550A310DC06E93</vt:lpwstr>
  </property>
</Properties>
</file>