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</w:p>
    <w:p>
      <w:pPr>
        <w:widowControl/>
        <w:jc w:val="center"/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  <w:highlight w:val="none"/>
        </w:rPr>
      </w:pP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  <w:highlight w:val="none"/>
        </w:rPr>
        <w:t>樟树市教育体育局202</w:t>
      </w: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  <w:highlight w:val="none"/>
        </w:rPr>
        <w:t>年政府信息公开</w:t>
      </w:r>
    </w:p>
    <w:p>
      <w:pPr>
        <w:jc w:val="center"/>
        <w:rPr>
          <w:highlight w:val="none"/>
        </w:rPr>
      </w:pP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36"/>
          <w:szCs w:val="36"/>
          <w:highlight w:val="none"/>
        </w:rPr>
        <w:t>工作年度报告</w:t>
      </w:r>
    </w:p>
    <w:p>
      <w:pPr>
        <w:widowControl/>
        <w:spacing w:line="401" w:lineRule="atLeast"/>
        <w:ind w:firstLine="640"/>
        <w:rPr>
          <w:rFonts w:ascii="微软雅黑" w:hAnsi="微软雅黑" w:eastAsia="微软雅黑" w:cs="宋体"/>
          <w:color w:val="333333"/>
          <w:kern w:val="0"/>
          <w:sz w:val="20"/>
          <w:szCs w:val="20"/>
          <w:highlight w:val="none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根据《中华人民共和国政府信息公开条例》（以下简称《条例》），特向社会公布202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年度樟树市教育体育局信息公开年度报告。本报告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由“（一）总体情况、（二）行政机关主动公开政府信息情况、（三）行政机关收到和处理政府信息公开申请情况、（四）因政府信息公开工作被申请行政复议、提起行政诉讼情况、（五）政府信息公开工作存在的主要问题及改进情况、（六）其他需要报告的事项”等六个部分组成。本报告中所列数据的统计期限自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年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1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月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1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日起，至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年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12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月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31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  <w:highlight w:val="none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日止，电子版通过樟树市人民政府门户网站http://www.zhangshu.gov.cn）全文公开。如对本报告有任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何疑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问，请与樟树市教育体育局办公室联系（联系电话：0795-7160701， 电子邮箱：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"mailto:zsswjjbgs@163.com，地址：樟树市药都南大道27" </w:instrText>
      </w:r>
      <w:r>
        <w:rPr>
          <w:highlight w:val="none"/>
        </w:rPr>
        <w:fldChar w:fldCharType="separate"/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zsswjjbgs@163.com，地址：樟树市药都南大道27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号，邮 编：331200）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highlight w:val="none"/>
        </w:rPr>
        <w:t>。</w:t>
      </w:r>
    </w:p>
    <w:p>
      <w:pPr>
        <w:widowControl/>
        <w:spacing w:line="401" w:lineRule="atLeast"/>
        <w:ind w:firstLine="640"/>
        <w:jc w:val="left"/>
        <w:rPr>
          <w:rFonts w:ascii="黑体" w:hAnsi="微软雅黑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微软雅黑" w:eastAsia="黑体" w:cs="宋体"/>
          <w:color w:val="333333"/>
          <w:kern w:val="0"/>
          <w:sz w:val="32"/>
          <w:szCs w:val="32"/>
          <w:highlight w:val="none"/>
        </w:rPr>
        <w:t>一、总体情况</w:t>
      </w:r>
    </w:p>
    <w:p>
      <w:pPr>
        <w:widowControl/>
        <w:spacing w:line="401" w:lineRule="atLeas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樟树市教育体育局深入贯彻落实中央和省、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宜春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市政府关于政府信息公开工作的要求，领导高度重视政府信息公开工作，建立健全市教体局信息工作领导小组制度，明确了领导分工，确定由局办公室牵头负责信息公开工作。</w:t>
      </w:r>
    </w:p>
    <w:p>
      <w:pPr>
        <w:widowControl/>
        <w:numPr>
          <w:ilvl w:val="0"/>
          <w:numId w:val="1"/>
        </w:numPr>
        <w:spacing w:line="401" w:lineRule="atLeast"/>
        <w:ind w:firstLine="64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微软雅黑" w:eastAsia="楷体_GB2312" w:cs="宋体"/>
          <w:b/>
          <w:color w:val="333333"/>
          <w:kern w:val="0"/>
          <w:sz w:val="32"/>
          <w:szCs w:val="32"/>
          <w:highlight w:val="none"/>
        </w:rPr>
        <w:t>主动公开。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年樟树市教育体育局通过樟树市政府门户网站主动公开政府信息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212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条，其中政策文件及政策解读文件共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条，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政府重点工作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信息5条，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工作动态信息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条，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发行政执法信息6条，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机构职能及领导信息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3条，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部门财政预决算信息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条，人大政协提案议案办理信息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条，公共文化体育信息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条，教育信息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（含学前教育、职业教育、义务教育）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条，政府信息公开工作年度报告1条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，公示公告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7条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结合我局信息公开工作实际，制定并发布了《樟树市教育体育局2023年政务公开工作要点》，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聚焦教育领域重点任务深化政务公开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，主动发布了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关于做好2023年全市普通中小学招生入学工作的通知》（樟教体发〔2023〕55号）、《樟树市教育体育局学生资助教育帮扶申请流程》、《樟树市 2023 年高中阶段学校招生考工作规定》等文件，及时就教体领域各重点栏目信息向社会进行了公布。</w:t>
      </w:r>
    </w:p>
    <w:p>
      <w:pPr>
        <w:widowControl/>
        <w:numPr>
          <w:ilvl w:val="0"/>
          <w:numId w:val="0"/>
        </w:numPr>
        <w:spacing w:line="401" w:lineRule="atLeast"/>
        <w:ind w:firstLine="643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楷体_GB2312" w:hAnsi="微软雅黑" w:eastAsia="楷体_GB2312" w:cs="宋体"/>
          <w:b/>
          <w:color w:val="333333"/>
          <w:kern w:val="0"/>
          <w:sz w:val="32"/>
          <w:szCs w:val="32"/>
          <w:highlight w:val="none"/>
        </w:rPr>
        <w:t>2.依申请公开。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202</w:t>
      </w:r>
      <w:r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年樟树市教育体育局共收到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件依申请公开。</w:t>
      </w:r>
    </w:p>
    <w:p>
      <w:pPr>
        <w:widowControl/>
        <w:spacing w:line="401" w:lineRule="atLeast"/>
        <w:ind w:firstLine="64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楷体_GB2312" w:hAnsi="微软雅黑" w:eastAsia="楷体_GB2312" w:cs="宋体"/>
          <w:b/>
          <w:color w:val="333333"/>
          <w:kern w:val="0"/>
          <w:sz w:val="32"/>
          <w:szCs w:val="32"/>
          <w:highlight w:val="none"/>
        </w:rPr>
        <w:t>3.政府信息管理。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完善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樟树市教育体育局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信息公开制度，严格按照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三审三校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的要求落实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政务公开和政务信息对外发布工作，政务信息的发送遵循“谁发布谁负责”的原则，对需要发布或者更新的政务公开内容经发布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股室（站）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负责人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分管领导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主要领导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签字审查符合要求后，才能发布在政府网站上，以确保所发布的信息内容不涉密，涉密信息不公开。</w:t>
      </w:r>
    </w:p>
    <w:p>
      <w:pPr>
        <w:widowControl/>
        <w:spacing w:line="401" w:lineRule="atLeast"/>
        <w:ind w:firstLine="64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微软雅黑" w:eastAsia="楷体_GB2312" w:cs="宋体"/>
          <w:b/>
          <w:color w:val="333333"/>
          <w:kern w:val="0"/>
          <w:sz w:val="32"/>
          <w:szCs w:val="32"/>
          <w:highlight w:val="none"/>
        </w:rPr>
        <w:t>4.政府信息公开平台建设。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樟树市教育体育局高度重视政府信息公开平台建设，做好政府信息公开专栏建设，发挥网上政务公开平台作用，更多运用信息化手段提高信息公开效果。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4月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按照上级政务公开工作的安排，我局于4月7日在樟树市滨江中学以“阳光食堂‘码’上监督  守护师生舌尖上的安全”为主题的“固定开放月”活动，邀请了市人大代表、政协委员、群众代表及媒体记者共10余人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参观樟树市滨江中学学生食堂，现场了解学校创建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“阳光”食堂及“码上”监督工作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接受群众问询、开展座谈研讨，并体验了体验滨江中学现场学生就餐情况，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取得了较好的社会效应。此后，我市学校“阳光食堂”建设相关工作成效在《江西省改革动态》、《宜春市改革动态》发表，并得到了省、宜春市主要领导的肯定。</w:t>
      </w:r>
    </w:p>
    <w:p>
      <w:pPr>
        <w:widowControl/>
        <w:spacing w:line="401" w:lineRule="atLeas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楷体_GB2312" w:hAnsi="微软雅黑" w:eastAsia="楷体_GB2312" w:cs="宋体"/>
          <w:b/>
          <w:color w:val="333333"/>
          <w:kern w:val="0"/>
          <w:sz w:val="32"/>
          <w:szCs w:val="32"/>
          <w:highlight w:val="none"/>
        </w:rPr>
        <w:t>5.监督保障。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樟树市教育体育局为确保政府信息公开工作的顺利推进，建立了“主要领导亲自抓、分管领导具体抓、职能部门齐力抓”的工作机制，并制订、印发了《樟树市教育体育局政府信息公开制度》、《樟树市教育体育局依申请公开政府信息工作制度》和《樟树市教育局政府信息公开指南》等相关制度，以保证市教育体育局信息公开工作落实到位、责任到人、有章可循。</w:t>
      </w:r>
    </w:p>
    <w:p>
      <w:pPr>
        <w:widowControl/>
        <w:spacing w:line="401" w:lineRule="atLeast"/>
        <w:ind w:firstLine="640"/>
        <w:jc w:val="left"/>
        <w:rPr>
          <w:rFonts w:ascii="黑体" w:hAnsi="微软雅黑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微软雅黑" w:eastAsia="黑体" w:cs="宋体"/>
          <w:color w:val="333333"/>
          <w:kern w:val="0"/>
          <w:sz w:val="32"/>
          <w:szCs w:val="32"/>
          <w:highlight w:val="none"/>
        </w:rPr>
        <w:t>二、行政机关主动公开政府信息情况</w:t>
      </w:r>
    </w:p>
    <w:tbl>
      <w:tblPr>
        <w:tblStyle w:val="2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1"/>
        <w:gridCol w:w="2431"/>
        <w:gridCol w:w="2431"/>
        <w:gridCol w:w="24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本年制发件数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本年废止件数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规章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　　0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 　0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ascii="Calibri" w:hAnsi="Calibri" w:eastAsia="微软雅黑" w:cs="宋体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行政规范性文件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Calibri" w:hAnsi="Calibri" w:eastAsia="微软雅黑" w:cs="宋体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Calibri" w:hAnsi="Calibri" w:eastAsia="微软雅黑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7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行政许可</w:t>
            </w:r>
          </w:p>
        </w:tc>
        <w:tc>
          <w:tcPr>
            <w:tcW w:w="7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7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行政处罚</w:t>
            </w:r>
          </w:p>
        </w:tc>
        <w:tc>
          <w:tcPr>
            <w:tcW w:w="7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行政强制</w:t>
            </w:r>
          </w:p>
        </w:tc>
        <w:tc>
          <w:tcPr>
            <w:tcW w:w="7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7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行政事业性收费</w:t>
            </w:r>
          </w:p>
        </w:tc>
        <w:tc>
          <w:tcPr>
            <w:tcW w:w="7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 xml:space="preserve">  0</w:t>
            </w:r>
          </w:p>
        </w:tc>
      </w:tr>
    </w:tbl>
    <w:p>
      <w:pPr>
        <w:widowControl/>
        <w:spacing w:line="401" w:lineRule="atLeast"/>
        <w:ind w:firstLine="640"/>
        <w:jc w:val="left"/>
        <w:rPr>
          <w:rFonts w:ascii="黑体" w:hAnsi="微软雅黑" w:eastAsia="黑体" w:cs="宋体"/>
          <w:color w:val="333333"/>
          <w:kern w:val="0"/>
          <w:sz w:val="32"/>
          <w:szCs w:val="32"/>
          <w:highlight w:val="none"/>
        </w:rPr>
      </w:pPr>
    </w:p>
    <w:p>
      <w:pPr>
        <w:widowControl/>
        <w:spacing w:line="401" w:lineRule="atLeast"/>
        <w:ind w:firstLine="640"/>
        <w:jc w:val="left"/>
        <w:rPr>
          <w:rFonts w:ascii="黑体" w:hAnsi="微软雅黑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微软雅黑" w:eastAsia="黑体" w:cs="宋体"/>
          <w:color w:val="333333"/>
          <w:kern w:val="0"/>
          <w:sz w:val="32"/>
          <w:szCs w:val="32"/>
          <w:highlight w:val="none"/>
        </w:rPr>
        <w:t>三、行政机关收到和处理政府信息公开申请情况</w:t>
      </w:r>
    </w:p>
    <w:tbl>
      <w:tblPr>
        <w:tblStyle w:val="2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943"/>
        <w:gridCol w:w="3186"/>
        <w:gridCol w:w="671"/>
        <w:gridCol w:w="671"/>
        <w:gridCol w:w="671"/>
        <w:gridCol w:w="671"/>
        <w:gridCol w:w="671"/>
        <w:gridCol w:w="731"/>
        <w:gridCol w:w="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2" w:type="dxa"/>
            <w:gridSpan w:val="3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8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2" w:type="dxa"/>
            <w:gridSpan w:val="3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法人或其他组织</w:t>
            </w:r>
          </w:p>
        </w:tc>
        <w:tc>
          <w:tcPr>
            <w:tcW w:w="762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2" w:type="dxa"/>
            <w:gridSpan w:val="3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商业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企业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科研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机构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社会公益组织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法律服务机构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62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一、本年新收政府信息公开申请数量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二、上年结转政府信息公开申请数量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三、本年度办理结果</w:t>
            </w:r>
          </w:p>
        </w:tc>
        <w:tc>
          <w:tcPr>
            <w:tcW w:w="4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（一）予以公开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（三）不予公开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1.属于国家秘密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2.其他法律行政法规禁止公开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3.危及“三安全一稳定”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4.保护第三方合法权益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5.属于三类内部事务信息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6.属于四类过程性信息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7.属于行政执法案卷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8.属于行政查询事项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（四）无法提供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1.本机关不掌握相关政府信息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2.没有现成信息需要另行制作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3.补正后申请内容仍不明确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（五）不予处理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1.信访举报投诉类申请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2.重复申请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3.要求提供公开出版物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4.无正当理由大量反复申请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5.要求行政机关确认或重新出具已获取信息</w:t>
            </w:r>
          </w:p>
        </w:tc>
        <w:tc>
          <w:tcPr>
            <w:tcW w:w="67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（六）其他处理</w:t>
            </w: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3.其他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（七）总计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四、结转下年度继续办理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</w:tbl>
    <w:p>
      <w:pPr>
        <w:widowControl/>
        <w:spacing w:line="401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0"/>
          <w:szCs w:val="20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highlight w:val="none"/>
        </w:rPr>
        <w:t> </w:t>
      </w:r>
    </w:p>
    <w:p>
      <w:pPr>
        <w:widowControl/>
        <w:spacing w:line="401" w:lineRule="atLeast"/>
        <w:ind w:firstLine="640"/>
        <w:jc w:val="left"/>
        <w:rPr>
          <w:rFonts w:ascii="黑体" w:hAnsi="微软雅黑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微软雅黑" w:eastAsia="黑体" w:cs="宋体"/>
          <w:color w:val="333333"/>
          <w:kern w:val="0"/>
          <w:sz w:val="32"/>
          <w:szCs w:val="32"/>
          <w:highlight w:val="none"/>
        </w:rPr>
        <w:t>四、行政机关收到和处理政府信息公开申请情况</w:t>
      </w:r>
    </w:p>
    <w:tbl>
      <w:tblPr>
        <w:tblStyle w:val="2"/>
        <w:tblW w:w="97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645"/>
        <w:gridCol w:w="646"/>
        <w:gridCol w:w="646"/>
        <w:gridCol w:w="661"/>
        <w:gridCol w:w="646"/>
        <w:gridCol w:w="646"/>
        <w:gridCol w:w="646"/>
        <w:gridCol w:w="646"/>
        <w:gridCol w:w="661"/>
        <w:gridCol w:w="646"/>
        <w:gridCol w:w="646"/>
        <w:gridCol w:w="646"/>
        <w:gridCol w:w="646"/>
        <w:gridCol w:w="6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纠正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其他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尚未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审结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总计</w:t>
            </w:r>
          </w:p>
        </w:tc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未经复议直接起诉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维持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纠正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其他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尚未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审结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总计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维持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纠正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其他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结果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尚未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审结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微软雅黑" w:eastAsia="黑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0</w:t>
            </w:r>
          </w:p>
        </w:tc>
      </w:tr>
    </w:tbl>
    <w:p>
      <w:pPr>
        <w:widowControl/>
        <w:spacing w:line="401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0"/>
          <w:szCs w:val="20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highlight w:val="none"/>
        </w:rPr>
        <w:t> </w:t>
      </w:r>
    </w:p>
    <w:p>
      <w:pPr>
        <w:widowControl/>
        <w:spacing w:line="401" w:lineRule="atLeast"/>
        <w:ind w:firstLine="640"/>
        <w:jc w:val="left"/>
        <w:rPr>
          <w:rFonts w:ascii="黑体" w:hAnsi="微软雅黑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微软雅黑" w:eastAsia="黑体" w:cs="宋体"/>
          <w:color w:val="333333"/>
          <w:kern w:val="0"/>
          <w:sz w:val="32"/>
          <w:szCs w:val="32"/>
          <w:highlight w:val="none"/>
        </w:rPr>
        <w:t>五、存在的主要问题及改进情况</w:t>
      </w:r>
    </w:p>
    <w:p>
      <w:pPr>
        <w:widowControl/>
        <w:spacing w:line="401" w:lineRule="atLeast"/>
        <w:ind w:firstLine="640"/>
        <w:jc w:val="lef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主要问题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1.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对教育体育领域重点事项信息发布还不及时，对相关规范性文件的解读方式还比较单一；2.部门政务动态信息发布不及时，对信息的审核发布还不够正规，敏感信息的处理上有漏项，信息发布质量有待提高。</w:t>
      </w:r>
    </w:p>
    <w:p>
      <w:pPr>
        <w:widowControl/>
        <w:spacing w:line="401" w:lineRule="atLeast"/>
        <w:ind w:firstLine="64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改进情况：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1.平时做好部门信息动态的收集工作，对重点信息做好审核把关，确保政务信息及时有效公开；2 .进一步加强政务信息公开队伍建设，主动学习其他单位的先进经验做法，不断提高政务信息公开工作人员的业务水平和综合素质。</w:t>
      </w:r>
    </w:p>
    <w:p>
      <w:pPr>
        <w:widowControl/>
        <w:spacing w:line="401" w:lineRule="atLeast"/>
        <w:ind w:firstLine="640"/>
        <w:jc w:val="left"/>
        <w:rPr>
          <w:rFonts w:ascii="黑体" w:hAnsi="微软雅黑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微软雅黑" w:eastAsia="黑体" w:cs="宋体"/>
          <w:color w:val="333333"/>
          <w:kern w:val="0"/>
          <w:sz w:val="32"/>
          <w:szCs w:val="32"/>
          <w:highlight w:val="none"/>
        </w:rPr>
        <w:t>六、其他需要报告的事项</w:t>
      </w:r>
    </w:p>
    <w:p>
      <w:pPr>
        <w:widowControl/>
        <w:spacing w:line="401" w:lineRule="atLeast"/>
        <w:ind w:firstLine="640"/>
        <w:jc w:val="left"/>
        <w:rPr>
          <w:highlight w:val="none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</w:rPr>
        <w:t>年度，本机关无收取信息处理费情况。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5C21D"/>
    <w:multiLevelType w:val="singleLevel"/>
    <w:tmpl w:val="6485C2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ZmY3MDBiYTRkNzE0MDY2MDA4MDMwNmZkNzBkNDEifQ=="/>
  </w:docVars>
  <w:rsids>
    <w:rsidRoot w:val="00000000"/>
    <w:rsid w:val="075C038E"/>
    <w:rsid w:val="078D1FB3"/>
    <w:rsid w:val="2BAF242C"/>
    <w:rsid w:val="4C5A71DF"/>
    <w:rsid w:val="59B95B6E"/>
    <w:rsid w:val="65DB0AFE"/>
    <w:rsid w:val="7FC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2024-01-05T08:57:00Z</dcterms:created>
  <dc:creator>Administrator</dc:creator>
  <cp:lastModifiedBy>Chwg</cp:lastModifiedBy>
  <dcterms:modified xsi:type="dcterms:W3CDTF">2024-01-19T08:49:38Z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2CB389CD60F749BA8DDC9EE31B43EB0C_12</vt:lpwstr>
  </property>
</Properties>
</file>