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bCs/>
          <w:sz w:val="44"/>
          <w:szCs w:val="44"/>
          <w:lang w:val="en-US" w:eastAsia="zh-CN"/>
        </w:rPr>
      </w:pPr>
      <w:r>
        <w:rPr>
          <w:rFonts w:hint="eastAsia" w:ascii="方正公文小标宋" w:hAnsi="方正公文小标宋" w:eastAsia="方正公文小标宋" w:cs="方正公文小标宋"/>
          <w:b/>
          <w:bCs/>
          <w:sz w:val="44"/>
          <w:szCs w:val="44"/>
          <w:lang w:val="en-US" w:eastAsia="zh-CN"/>
        </w:rPr>
        <w:t>樟树市店下镇2023年政府信息公开工作年度报告</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bCs/>
          <w:sz w:val="36"/>
          <w:szCs w:val="36"/>
          <w:lang w:val="en-US"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i w:val="0"/>
          <w:iCs w:val="0"/>
          <w:caps w:val="0"/>
          <w:color w:val="000000"/>
          <w:spacing w:val="0"/>
          <w:sz w:val="32"/>
          <w:szCs w:val="32"/>
          <w:shd w:val="clear" w:fill="FFFFFF"/>
        </w:rPr>
      </w:pPr>
      <w:r>
        <w:rPr>
          <w:rFonts w:hint="eastAsia" w:ascii="方正仿宋_GB2312" w:hAnsi="方正仿宋_GB2312" w:eastAsia="方正仿宋_GB2312" w:cs="方正仿宋_GB2312"/>
          <w:i w:val="0"/>
          <w:iCs w:val="0"/>
          <w:caps w:val="0"/>
          <w:color w:val="000000"/>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店下</w:t>
      </w:r>
      <w:r>
        <w:rPr>
          <w:rFonts w:hint="eastAsia" w:ascii="方正仿宋_GB2312" w:hAnsi="方正仿宋_GB2312" w:eastAsia="方正仿宋_GB2312" w:cs="方正仿宋_GB2312"/>
          <w:i w:val="0"/>
          <w:iCs w:val="0"/>
          <w:caps w:val="0"/>
          <w:color w:val="000000"/>
          <w:spacing w:val="0"/>
          <w:sz w:val="32"/>
          <w:szCs w:val="32"/>
          <w:shd w:val="clear" w:fill="FFFFFF"/>
        </w:rPr>
        <w:t>镇结合樟树市人民政府网站、樟树市政府信息公开平台等有关统计数据编制。本年度报告中所列数据的统计期限自202</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3</w:t>
      </w:r>
      <w:r>
        <w:rPr>
          <w:rFonts w:hint="eastAsia" w:ascii="方正仿宋_GB2312" w:hAnsi="方正仿宋_GB2312" w:eastAsia="方正仿宋_GB2312" w:cs="方正仿宋_GB2312"/>
          <w:i w:val="0"/>
          <w:iCs w:val="0"/>
          <w:caps w:val="0"/>
          <w:color w:val="000000"/>
          <w:spacing w:val="0"/>
          <w:sz w:val="32"/>
          <w:szCs w:val="32"/>
          <w:shd w:val="clear" w:fill="FFFFFF"/>
        </w:rPr>
        <w:t>年1月1日起至202</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3</w:t>
      </w:r>
      <w:r>
        <w:rPr>
          <w:rFonts w:hint="eastAsia" w:ascii="方正仿宋_GB2312" w:hAnsi="方正仿宋_GB2312" w:eastAsia="方正仿宋_GB2312" w:cs="方正仿宋_GB2312"/>
          <w:i w:val="0"/>
          <w:iCs w:val="0"/>
          <w:caps w:val="0"/>
          <w:color w:val="000000"/>
          <w:spacing w:val="0"/>
          <w:sz w:val="32"/>
          <w:szCs w:val="32"/>
          <w:shd w:val="clear" w:fill="FFFFFF"/>
        </w:rPr>
        <w:t>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w:t>
      </w: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店下</w:t>
      </w:r>
      <w:r>
        <w:rPr>
          <w:rFonts w:hint="eastAsia" w:ascii="方正仿宋_GB2312" w:hAnsi="方正仿宋_GB2312" w:eastAsia="方正仿宋_GB2312" w:cs="方正仿宋_GB2312"/>
          <w:i w:val="0"/>
          <w:iCs w:val="0"/>
          <w:caps w:val="0"/>
          <w:color w:val="000000"/>
          <w:spacing w:val="0"/>
          <w:sz w:val="32"/>
          <w:szCs w:val="32"/>
          <w:shd w:val="clear" w:fill="FFFFFF"/>
        </w:rPr>
        <w:t>镇人民政府办公室联系（地址：树槐路与玉华路交叉口南50米，电话：0795-7871001，邮编：331200）。</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pPr>
    </w:p>
    <w:p>
      <w:pPr>
        <w:keepNext w:val="0"/>
        <w:keepLines w:val="0"/>
        <w:pageBreakBefore w:val="0"/>
        <w:numPr>
          <w:ilvl w:val="0"/>
          <w:numId w:val="1"/>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总体情况</w:t>
      </w:r>
    </w:p>
    <w:p>
      <w:pPr>
        <w:keepNext w:val="0"/>
        <w:keepLines w:val="0"/>
        <w:pageBreakBefore w:val="0"/>
        <w:numPr>
          <w:ilvl w:val="0"/>
          <w:numId w:val="0"/>
        </w:numPr>
        <w:kinsoku/>
        <w:overflowPunct/>
        <w:topLinePunct w:val="0"/>
        <w:autoSpaceDE/>
        <w:autoSpaceDN/>
        <w:bidi w:val="0"/>
        <w:adjustRightInd/>
        <w:snapToGrid/>
        <w:spacing w:line="560" w:lineRule="exact"/>
        <w:ind w:firstLine="546"/>
        <w:jc w:val="left"/>
        <w:textAlignment w:val="auto"/>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000000"/>
          <w:spacing w:val="0"/>
          <w:sz w:val="32"/>
          <w:szCs w:val="32"/>
          <w:shd w:val="clear" w:fill="FFFFFF"/>
          <w:lang w:val="en-US" w:eastAsia="zh-CN"/>
        </w:rPr>
        <w:t>2023年，店下镇政府信息公开工作在樟树市委和市政府的领导下，以建设透明、公开的服务型政府为目标，深入贯彻落实党的二十大精神，严格落实《中华人民共和国政府信息公开条例》，进一步推进政府信息公开工作，坚持政府信息应公开尽公开为原则，不公开为例外，及时发布政府相关工作信息和政策文件，有效提升政府的公信力和政府行政效率。</w:t>
      </w:r>
    </w:p>
    <w:p>
      <w:pPr>
        <w:keepNext w:val="0"/>
        <w:keepLines w:val="0"/>
        <w:pageBreakBefore w:val="0"/>
        <w:numPr>
          <w:ilvl w:val="0"/>
          <w:numId w:val="2"/>
        </w:numPr>
        <w:kinsoku/>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主动公开</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2023年，店下镇政府信息公开网主动公开全年政府的工作动态、日常店下政策文件和举办活动的公示公告，政策资金使用情况等。店下镇政府信息公开全年212条，其中乡镇动态40条，政策文件5条，重点领域信息35条，公示公告8条，村（居）务公开信息更新101条，规范公开更新乡镇机关职能及领导的权力清单、机构设置、办公地址、办公事件、联系方式等信息，为群众来店下办事、旅游提供更快捷高效的引导指南。</w:t>
      </w:r>
    </w:p>
    <w:p>
      <w:pPr>
        <w:keepNext w:val="0"/>
        <w:keepLines w:val="0"/>
        <w:pageBreakBefore w:val="0"/>
        <w:numPr>
          <w:ilvl w:val="0"/>
          <w:numId w:val="2"/>
        </w:numPr>
        <w:kinsoku/>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依申请公开</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依申请公开方面，店下镇2023全年线上线下受理依申请公开0件。</w:t>
      </w:r>
    </w:p>
    <w:p>
      <w:pPr>
        <w:keepNext w:val="0"/>
        <w:keepLines w:val="0"/>
        <w:pageBreakBefore w:val="0"/>
        <w:numPr>
          <w:ilvl w:val="0"/>
          <w:numId w:val="2"/>
        </w:numPr>
        <w:kinsoku/>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政府信息管理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一是健全完善政务信息常态化管理机制，健全政务公开文件的公开、存档等机制，对尚未公开文件由2名政务公开人员分批次审核，对涉及身份信息、财务信息等敏感信息进行修改，做到应公开尽公开、不予公开绝不公开；二是完善责任机制，店下镇成立政务公开领导小组，由负责政务公开领导直接负责领导，并指定人员分管负责公开文件的收集、公开、存档和修正工作，按照统一管理、规范的原则保障信息的准确性和及时性。保证了乡政府工作的透明度，人民群众能够有效及时的获取正确的政府信息。</w:t>
      </w:r>
    </w:p>
    <w:p>
      <w:pPr>
        <w:keepNext w:val="0"/>
        <w:keepLines w:val="0"/>
        <w:pageBreakBefore w:val="0"/>
        <w:numPr>
          <w:ilvl w:val="0"/>
          <w:numId w:val="2"/>
        </w:numPr>
        <w:kinsoku/>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政府信息公开平台建设</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 xml:space="preserve">在政府门户网站，按照市政府信息公开要求及时更新栏目信息，在线上分为决策公开、执行公开、管理公开、重点领域公开等，主要公开地方政府日常政策文件、活动、民政站所日常工作等项目；线下政务公开以镇政府和村居委政务公开栏为主要，公示为民服务等信息事项，群众能够更直观便利的查询本村委相关自己的信息，切实保障群众的切实利益。 </w:t>
      </w:r>
    </w:p>
    <w:p>
      <w:pPr>
        <w:keepNext w:val="0"/>
        <w:keepLines w:val="0"/>
        <w:pageBreakBefore w:val="0"/>
        <w:numPr>
          <w:ilvl w:val="0"/>
          <w:numId w:val="2"/>
        </w:numPr>
        <w:kinsoku/>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监督保障</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仿宋_GB2312" w:hAnsi="方正仿宋_GB2312" w:eastAsia="方正仿宋_GB2312" w:cs="方正仿宋_GB2312"/>
          <w:b w:val="0"/>
          <w:bCs w:val="0"/>
          <w:sz w:val="32"/>
          <w:szCs w:val="32"/>
          <w:lang w:val="en-US" w:eastAsia="zh-CN"/>
        </w:rPr>
        <w:t>店下镇政府信息公开工作由两位政府人员进行政务公开工作，一人主职，一人兼职。针对政务公开文件，由主职人员进行收集文件和初步的文件审核工作，再交由兼职人员进行共同审核，保证文件的公开的合理性和正确性。</w:t>
      </w:r>
    </w:p>
    <w:p>
      <w:pPr>
        <w:keepNext w:val="0"/>
        <w:keepLines w:val="0"/>
        <w:pageBreakBefore w:val="0"/>
        <w:numPr>
          <w:ilvl w:val="0"/>
          <w:numId w:val="1"/>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行政机关主动公开政府信息情况</w:t>
      </w:r>
    </w:p>
    <w:tbl>
      <w:tblPr>
        <w:tblStyle w:val="3"/>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34"/>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0" w:hRule="atLeast"/>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信息内容</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本年制发件数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本年废止件数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规章</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行政规范性文件</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信息内容</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行政许可</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行政处罚</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行政强制</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039"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信息内容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1734"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行政事业性收费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sz w:val="32"/>
                <w:szCs w:val="32"/>
              </w:rPr>
              <w:t>0</w:t>
            </w:r>
          </w:p>
        </w:tc>
      </w:tr>
    </w:tbl>
    <w:p>
      <w:pPr>
        <w:keepNext w:val="0"/>
        <w:keepLines w:val="0"/>
        <w:pageBreakBefore w:val="0"/>
        <w:numPr>
          <w:ilvl w:val="0"/>
          <w:numId w:val="0"/>
        </w:numPr>
        <w:kinsoku/>
        <w:overflowPunct/>
        <w:topLinePunct w:val="0"/>
        <w:autoSpaceDE/>
        <w:autoSpaceDN/>
        <w:bidi w:val="0"/>
        <w:adjustRightInd/>
        <w:snapToGrid/>
        <w:spacing w:line="560" w:lineRule="exact"/>
        <w:ind w:leftChars="0"/>
        <w:jc w:val="left"/>
        <w:textAlignment w:val="auto"/>
        <w:rPr>
          <w:rFonts w:hint="eastAsia" w:ascii="方正仿宋_GB2312" w:hAnsi="方正仿宋_GB2312" w:eastAsia="方正仿宋_GB2312" w:cs="方正仿宋_GB2312"/>
          <w:b w:val="0"/>
          <w:bCs w:val="0"/>
          <w:sz w:val="28"/>
          <w:szCs w:val="28"/>
          <w:lang w:val="en-US" w:eastAsia="zh-CN"/>
        </w:rPr>
      </w:pPr>
      <w:bookmarkStart w:id="0" w:name="_GoBack"/>
      <w:bookmarkEnd w:id="0"/>
    </w:p>
    <w:p>
      <w:pPr>
        <w:keepNext w:val="0"/>
        <w:keepLines w:val="0"/>
        <w:pageBreakBefore w:val="0"/>
        <w:numPr>
          <w:ilvl w:val="0"/>
          <w:numId w:val="1"/>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行政机关收到和处理政府信息公开申请情况</w:t>
      </w:r>
    </w:p>
    <w:tbl>
      <w:tblPr>
        <w:tblStyle w:val="3"/>
        <w:tblW w:w="90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88" w:type="dxa"/>
            <w:vMerge w:val="restar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自然人</w:t>
            </w:r>
          </w:p>
        </w:tc>
        <w:tc>
          <w:tcPr>
            <w:tcW w:w="3440" w:type="dxa"/>
            <w:gridSpan w:val="5"/>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88" w:type="dxa"/>
            <w:vMerge w:val="continue"/>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商业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企业</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科研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机构</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社会公益组织</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法律服务机构</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其他</w:t>
            </w:r>
          </w:p>
        </w:tc>
        <w:tc>
          <w:tcPr>
            <w:tcW w:w="688" w:type="dxa"/>
            <w:vMerge w:val="continue"/>
            <w:tcBorders>
              <w:top w:val="single" w:color="auto" w:sz="8" w:space="0"/>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232"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一、本年新收政府信息公开申请数量</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232"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二、上年结转政府信息公开申请数量</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restart"/>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三、本年度办理结果</w:t>
            </w:r>
          </w:p>
        </w:tc>
        <w:tc>
          <w:tcPr>
            <w:tcW w:w="3414"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（一）予以公开</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3414"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（三）不予公开</w:t>
            </w: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1.属于国家秘密</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2.其他法律行政法规禁止公开</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3.危及“三安全一稳定”</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4.保护第三方合法权益</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5.属于三类内部事务信息</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6.属于四类过程性信息</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7.属于行政执法案卷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8.属于行政查询事项</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（四）无法提供</w:t>
            </w: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1.本机关不掌握相关政府信息</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2.没有现成信息需要另行制作</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3.补正后申请内容仍不明确</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5" w:hRule="atLeast"/>
        </w:trPr>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（五）不予处理</w:t>
            </w: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1.信访举报投诉类申请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2.重复申请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3.要求提供公开出版物</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4.无正当理由大量反复申请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trPr>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5.要求行政机关确认或重新出具已获取信息</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restart"/>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（六）其他处理</w:t>
            </w: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835" w:type="dxa"/>
            <w:vMerge w:val="continue"/>
            <w:tcBorders>
              <w:top w:val="nil"/>
              <w:left w:val="nil"/>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25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3.其他</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18" w:type="dxa"/>
            <w:vMerge w:val="continue"/>
            <w:tcBorders>
              <w:top w:val="nil"/>
              <w:left w:val="single" w:color="auto" w:sz="8" w:space="0"/>
              <w:bottom w:val="out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i w:val="0"/>
                <w:iCs w:val="0"/>
                <w:caps w:val="0"/>
                <w:color w:val="000000"/>
                <w:spacing w:val="0"/>
                <w:sz w:val="24"/>
                <w:szCs w:val="24"/>
              </w:rPr>
            </w:pPr>
          </w:p>
        </w:tc>
        <w:tc>
          <w:tcPr>
            <w:tcW w:w="3414"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（七）总计</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232"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四、结转下年度继续办理</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88"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bl>
    <w:p>
      <w:pPr>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p>
    <w:p>
      <w:pPr>
        <w:keepNext w:val="0"/>
        <w:keepLines w:val="0"/>
        <w:pageBreakBefore w:val="0"/>
        <w:numPr>
          <w:ilvl w:val="0"/>
          <w:numId w:val="1"/>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因政府信息公开工作被申请行政复议、提起行政诉讼情况</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09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行政复议</w:t>
            </w:r>
          </w:p>
        </w:tc>
        <w:tc>
          <w:tcPr>
            <w:tcW w:w="6193" w:type="dxa"/>
            <w:gridSpan w:val="10"/>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9" w:type="dxa"/>
            <w:vMerge w:val="restart"/>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结果维持</w:t>
            </w:r>
          </w:p>
        </w:tc>
        <w:tc>
          <w:tcPr>
            <w:tcW w:w="619" w:type="dxa"/>
            <w:vMerge w:val="restart"/>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结果</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纠正</w:t>
            </w:r>
          </w:p>
        </w:tc>
        <w:tc>
          <w:tcPr>
            <w:tcW w:w="61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其他</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结果</w:t>
            </w:r>
          </w:p>
        </w:tc>
        <w:tc>
          <w:tcPr>
            <w:tcW w:w="61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尚未</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审结</w:t>
            </w:r>
          </w:p>
        </w:tc>
        <w:tc>
          <w:tcPr>
            <w:tcW w:w="619"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总计</w:t>
            </w:r>
          </w:p>
        </w:tc>
        <w:tc>
          <w:tcPr>
            <w:tcW w:w="309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未经复议直接起诉</w:t>
            </w:r>
          </w:p>
        </w:tc>
        <w:tc>
          <w:tcPr>
            <w:tcW w:w="3098"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9" w:type="dxa"/>
            <w:vMerge w:val="continue"/>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19" w:type="dxa"/>
            <w:vMerge w:val="continue"/>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19"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i w:val="0"/>
                <w:iCs w:val="0"/>
                <w:caps w:val="0"/>
                <w:color w:val="000000"/>
                <w:spacing w:val="0"/>
                <w:sz w:val="24"/>
                <w:szCs w:val="24"/>
              </w:rPr>
            </w:pP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结果</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维持</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结果</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纠正</w:t>
            </w:r>
          </w:p>
        </w:tc>
        <w:tc>
          <w:tcPr>
            <w:tcW w:w="619"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其他</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结果</w:t>
            </w:r>
          </w:p>
        </w:tc>
        <w:tc>
          <w:tcPr>
            <w:tcW w:w="619"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尚未</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审结</w:t>
            </w:r>
          </w:p>
        </w:tc>
        <w:tc>
          <w:tcPr>
            <w:tcW w:w="619"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总计</w:t>
            </w:r>
          </w:p>
        </w:tc>
        <w:tc>
          <w:tcPr>
            <w:tcW w:w="619"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结果</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维持</w:t>
            </w:r>
          </w:p>
        </w:tc>
        <w:tc>
          <w:tcPr>
            <w:tcW w:w="619"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结果</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纠正</w:t>
            </w:r>
          </w:p>
        </w:tc>
        <w:tc>
          <w:tcPr>
            <w:tcW w:w="620"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其他</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结果</w:t>
            </w:r>
          </w:p>
        </w:tc>
        <w:tc>
          <w:tcPr>
            <w:tcW w:w="620"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尚未</w:t>
            </w:r>
            <w:r>
              <w:rPr>
                <w:rFonts w:hint="eastAsia" w:ascii="方正仿宋_GB2312" w:hAnsi="方正仿宋_GB2312" w:eastAsia="方正仿宋_GB2312" w:cs="方正仿宋_GB2312"/>
                <w:i w:val="0"/>
                <w:iCs w:val="0"/>
                <w:caps w:val="0"/>
                <w:color w:val="000000"/>
                <w:spacing w:val="0"/>
                <w:sz w:val="24"/>
                <w:szCs w:val="24"/>
              </w:rPr>
              <w:br w:type="textWrapping"/>
            </w:r>
            <w:r>
              <w:rPr>
                <w:rFonts w:hint="eastAsia" w:ascii="方正仿宋_GB2312" w:hAnsi="方正仿宋_GB2312" w:eastAsia="方正仿宋_GB2312" w:cs="方正仿宋_GB2312"/>
                <w:i w:val="0"/>
                <w:iCs w:val="0"/>
                <w:caps w:val="0"/>
                <w:color w:val="000000"/>
                <w:spacing w:val="0"/>
                <w:sz w:val="24"/>
                <w:szCs w:val="24"/>
              </w:rPr>
              <w:t>审结</w:t>
            </w:r>
          </w:p>
        </w:tc>
        <w:tc>
          <w:tcPr>
            <w:tcW w:w="620" w:type="dxa"/>
            <w:tcBorders>
              <w:top w:val="single" w:color="auto" w:sz="8" w:space="0"/>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19"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20"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20"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c>
          <w:tcPr>
            <w:tcW w:w="620" w:type="dxa"/>
            <w:tcBorders>
              <w:top w:val="nil"/>
              <w:left w:val="single" w:color="auto" w:sz="8" w:space="0"/>
              <w:bottom w:val="single" w:color="auto" w:sz="8" w:space="0"/>
              <w:right w:val="single" w:color="auto" w:sz="8" w:space="0"/>
            </w:tcBorders>
            <w:shd w:val="clear" w:color="auto" w:fill="FFFFFF"/>
            <w:tcMar>
              <w:top w:w="0" w:type="dxa"/>
              <w:left w:w="23" w:type="dxa"/>
              <w:bottom w:w="0" w:type="dxa"/>
              <w:right w:w="2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w:t>
            </w:r>
          </w:p>
        </w:tc>
      </w:tr>
    </w:tbl>
    <w:p>
      <w:pPr>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b/>
          <w:bCs/>
          <w:sz w:val="28"/>
          <w:szCs w:val="28"/>
          <w:lang w:val="en-US" w:eastAsia="zh-CN"/>
        </w:rPr>
      </w:pPr>
    </w:p>
    <w:p>
      <w:pPr>
        <w:keepNext w:val="0"/>
        <w:keepLines w:val="0"/>
        <w:pageBreakBefore w:val="0"/>
        <w:numPr>
          <w:ilvl w:val="0"/>
          <w:numId w:val="1"/>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政府信息公开存在主要问题及改进情况</w:t>
      </w:r>
    </w:p>
    <w:p>
      <w:pPr>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一、存在问题</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1、政务公开信息不及时，重点工作领域内容不能及时反馈群众；</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2、线上公开文件内容不够全面；村居委公开内容缺少正确的审核，内容正确但不合理；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3、公开信息形式较为单一，内容缺乏信服力。</w:t>
      </w:r>
    </w:p>
    <w:p>
      <w:pPr>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二、改进措施</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1、乡镇领导重视，牵头联结各部门，有效提升各部门信息流转效率，让政务公开负责人收到及时的政务信息，保证群众送看信息的时效性；</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2、加强政务公开相关业务能力培训，提升村级干部业务水平，对各类敏感信息能有效分类排除，做到“涉密信息不公开，公开信息不涉密”；</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3、对工作动态等公开内容进行多方面的文件收集并进行内容整合，做到内容图文并茂，并且在政府新媒体平台宣传政策公开文件相关信息，通过文件相关现场照片增加群众对文件的了解度和认同感。</w:t>
      </w:r>
    </w:p>
    <w:p>
      <w:pPr>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b w:val="0"/>
          <w:bCs w:val="0"/>
          <w:sz w:val="32"/>
          <w:szCs w:val="32"/>
          <w:lang w:val="en-US" w:eastAsia="zh-CN"/>
        </w:rPr>
      </w:pPr>
    </w:p>
    <w:p>
      <w:pPr>
        <w:keepNext w:val="0"/>
        <w:keepLines w:val="0"/>
        <w:pageBreakBefore w:val="0"/>
        <w:numPr>
          <w:ilvl w:val="0"/>
          <w:numId w:val="1"/>
        </w:numPr>
        <w:kinsoku/>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其他需要报告的事项</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val="0"/>
          <w:bCs w:val="0"/>
          <w:sz w:val="32"/>
          <w:szCs w:val="32"/>
          <w:lang w:val="en-US" w:eastAsia="zh-CN"/>
        </w:rPr>
        <w:t>2023年度本单位未产生信息公开处理费用。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23A1EF23-DEAA-4A0B-92A0-8EA123C2347E}"/>
  </w:font>
  <w:font w:name="方正仿宋_GB2312">
    <w:panose1 w:val="02000000000000000000"/>
    <w:charset w:val="86"/>
    <w:family w:val="auto"/>
    <w:pitch w:val="default"/>
    <w:sig w:usb0="A00002BF" w:usb1="184F6CFA" w:usb2="00000012" w:usb3="00000000" w:csb0="00040001" w:csb1="00000000"/>
    <w:embedRegular r:id="rId2" w:fontKey="{BB0C72A0-B7C8-47F0-9CBB-BEB9D373B70C}"/>
  </w:font>
  <w:font w:name="方正楷体_GB2312">
    <w:panose1 w:val="02000000000000000000"/>
    <w:charset w:val="86"/>
    <w:family w:val="auto"/>
    <w:pitch w:val="default"/>
    <w:sig w:usb0="A00002BF" w:usb1="184F6CFA" w:usb2="00000012" w:usb3="00000000" w:csb0="00040001" w:csb1="00000000"/>
    <w:embedRegular r:id="rId3" w:fontKey="{33A786BB-6227-4AF2-9408-AB17F774CAB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7954F9"/>
    <w:multiLevelType w:val="singleLevel"/>
    <w:tmpl w:val="567954F9"/>
    <w:lvl w:ilvl="0" w:tentative="0">
      <w:start w:val="1"/>
      <w:numFmt w:val="chineseCounting"/>
      <w:suff w:val="nothing"/>
      <w:lvlText w:val="（%1）"/>
      <w:lvlJc w:val="left"/>
      <w:rPr>
        <w:rFonts w:hint="eastAsia"/>
      </w:rPr>
    </w:lvl>
  </w:abstractNum>
  <w:abstractNum w:abstractNumId="1">
    <w:nsid w:val="6F5C55EC"/>
    <w:multiLevelType w:val="singleLevel"/>
    <w:tmpl w:val="6F5C55E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xMjE5ZGExNzg4OTYwZGUxNjZmZjRhNmZhODJlMjMifQ=="/>
  </w:docVars>
  <w:rsids>
    <w:rsidRoot w:val="241B561F"/>
    <w:rsid w:val="0D097A48"/>
    <w:rsid w:val="223C00C4"/>
    <w:rsid w:val="241B561F"/>
    <w:rsid w:val="35BF6BEA"/>
    <w:rsid w:val="48ED056C"/>
    <w:rsid w:val="630E1F93"/>
    <w:rsid w:val="6E0A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2024-01-17T01:46:00Z</dcterms:created>
  <dc:creator>JLee</dc:creator>
  <cp:lastModifiedBy>Administrator</cp:lastModifiedBy>
  <dcterms:modified xsi:type="dcterms:W3CDTF">2024-01-24T06:37:37Z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872528E9006841C488E56AB9BADC168A_11</vt:lpwstr>
  </property>
</Properties>
</file>