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i w:val="0"/>
          <w:caps w:val="0"/>
          <w:color w:val="333333"/>
          <w:spacing w:val="0"/>
          <w:sz w:val="32"/>
          <w:szCs w:val="32"/>
        </w:rPr>
      </w:pPr>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樟树市文广新旅局2020年度</w:t>
      </w:r>
      <w:r>
        <w:rPr>
          <w:rFonts w:hint="eastAsia" w:ascii="方正小标宋_GBK" w:hAnsi="方正小标宋_GBK" w:eastAsia="方正小标宋_GBK" w:cs="方正小标宋_GBK"/>
          <w:b w:val="0"/>
          <w:bCs/>
          <w:i w:val="0"/>
          <w:caps w:val="0"/>
          <w:color w:val="333333"/>
          <w:spacing w:val="0"/>
          <w:sz w:val="44"/>
          <w:szCs w:val="44"/>
          <w:shd w:val="clear" w:fill="FFFFFF"/>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highlight w:val="none"/>
          <w:shd w:val="clear"/>
          <w:lang w:val="en-US" w:eastAsia="zh-CN"/>
        </w:rPr>
        <w:t>樟树市文广新旅局</w:t>
      </w:r>
      <w:r>
        <w:rPr>
          <w:rFonts w:hint="eastAsia" w:ascii="仿宋_GB2312" w:hAnsi="仿宋_GB2312" w:eastAsia="仿宋_GB2312" w:cs="仿宋_GB2312"/>
          <w:i w:val="0"/>
          <w:caps w:val="0"/>
          <w:color w:val="333333"/>
          <w:spacing w:val="0"/>
          <w:sz w:val="32"/>
          <w:szCs w:val="32"/>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w:t>
      </w:r>
      <w:r>
        <w:rPr>
          <w:rFonts w:hint="eastAsia" w:ascii="仿宋_GB2312" w:hAnsi="仿宋_GB2312" w:eastAsia="仿宋_GB2312" w:cs="仿宋_GB2312"/>
          <w:i w:val="0"/>
          <w:caps w:val="0"/>
          <w:color w:val="333333"/>
          <w:spacing w:val="0"/>
          <w:sz w:val="32"/>
          <w:szCs w:val="32"/>
          <w:highlight w:val="none"/>
        </w:rPr>
        <w:t>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樟树市文广新旅局</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樟树市杏佛路59号文化馆四楼</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0795-7162601</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331200</w:t>
      </w:r>
      <w:r>
        <w:rPr>
          <w:rFonts w:hint="eastAsia" w:ascii="仿宋_GB2312" w:hAnsi="仿宋_GB2312" w:eastAsia="仿宋_GB2312" w:cs="仿宋_GB2312"/>
          <w:i w:val="0"/>
          <w:caps w:val="0"/>
          <w:color w:val="333333"/>
          <w:spacing w:val="0"/>
          <w:sz w:val="32"/>
          <w:szCs w:val="32"/>
          <w:highlight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highlight w:val="none"/>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highlight w:val="none"/>
          <w:shd w:val="clear" w:fill="FFFFFF"/>
        </w:rPr>
      </w:pPr>
      <w:r>
        <w:rPr>
          <w:rFonts w:hint="eastAsia" w:ascii="黑体" w:hAnsi="黑体" w:eastAsia="黑体" w:cs="黑体"/>
          <w:b w:val="0"/>
          <w:bCs/>
          <w:i w:val="0"/>
          <w:caps w:val="0"/>
          <w:color w:val="333333"/>
          <w:spacing w:val="0"/>
          <w:sz w:val="32"/>
          <w:szCs w:val="32"/>
          <w:highlight w:val="none"/>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2020年，在市委、市政府的坚强领导下，市文广新旅局紧紧围绕中央、省关于全面推进政务公开工作的系列部署，持续加大公开范围，深化公开内容，创新公开形式，有力促进了政务公开各项工作的开展，取得了良好成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（一）主动公开政府信息的情况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2020年1月至12月底我局在政府信息公开平台上主动公开信息</w:t>
      </w:r>
      <w:r>
        <w:rPr>
          <w:rFonts w:hint="eastAsia" w:ascii="仿宋_GB2312" w:hAnsi="仿宋_GB2312" w:eastAsia="仿宋_GB2312" w:cs="仿宋_GB2312"/>
          <w:i w:val="0"/>
          <w:caps w:val="0"/>
          <w:color w:val="auto"/>
          <w:spacing w:val="0"/>
          <w:sz w:val="32"/>
          <w:szCs w:val="32"/>
          <w:shd w:val="clear" w:fill="FFFFFF"/>
          <w:lang w:val="en-US" w:eastAsia="zh-CN"/>
        </w:rPr>
        <w:t>41</w:t>
      </w:r>
      <w:r>
        <w:rPr>
          <w:rFonts w:hint="eastAsia" w:ascii="仿宋_GB2312" w:hAnsi="仿宋_GB2312" w:eastAsia="仿宋_GB2312" w:cs="仿宋_GB2312"/>
          <w:i w:val="0"/>
          <w:caps w:val="0"/>
          <w:color w:val="333333"/>
          <w:spacing w:val="0"/>
          <w:sz w:val="32"/>
          <w:szCs w:val="32"/>
          <w:shd w:val="clear" w:fill="FFFFFF"/>
          <w:lang w:val="en-US" w:eastAsia="zh-CN"/>
        </w:rPr>
        <w:t>条，主动公开的信息有工作动态、概况信息、政策文件、发展规划、建议提案办理、财经政预决算等。</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（二）依申请公开政府信息办理情况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2020年，本单位收到并办结网上申请政府信息公开1条。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（三）政府信息管理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将政务公开工作纳入重点工作，在局机关全体工作例会上按各股室职责职能明确公开内容、程序及形式等，做到专人负责，建立健全信息公开合法性、保密性、关键字正确表述等内容审查机制，确保信息公开质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（四）平台建设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严格按照信息审核程序要求，做好政府信息公开工作，提高信息公开工作的效率。重点加强对《条例》以及本局制定的各项规章制度的学习培训，使从事政府信息公开工作的干部职工进一步了解掌握政府信息公开工作原则、公开范围、公开程序等方面的知识，努力提升干部的责任意识，有效提高全局政务信息公开工作业务水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（五）监督保障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加强政务信息公开规范性，建立健全工作制度。包括：规范政务信息依申请公开工作流程和要点，建立政府信息公开审查制度等。设置政务信息公开负责人员，落实政务信息公开相关要求。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本年新制作数量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本年新公开数量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    章</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规范性文件</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1</w:t>
            </w:r>
          </w:p>
        </w:tc>
        <w:tc>
          <w:tcPr>
            <w:tcW w:w="2025" w:type="dxa"/>
            <w:shd w:val="clear" w:color="auto" w:fill="auto"/>
          </w:tcPr>
          <w:p>
            <w:pPr>
              <w:spacing w:line="46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w:t>
            </w:r>
          </w:p>
        </w:tc>
        <w:tc>
          <w:tcPr>
            <w:tcW w:w="2295" w:type="dxa"/>
            <w:shd w:val="clear" w:color="auto" w:fill="auto"/>
          </w:tcPr>
          <w:p>
            <w:pPr>
              <w:spacing w:line="46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行政许可</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202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c>
          <w:tcPr>
            <w:tcW w:w="2295" w:type="dxa"/>
            <w:shd w:val="clear" w:color="auto" w:fill="auto"/>
          </w:tcPr>
          <w:p>
            <w:pPr>
              <w:spacing w:line="46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其他对外管理服务事项</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02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229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202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c>
          <w:tcPr>
            <w:tcW w:w="2295"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行政处罚</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w:t>
            </w:r>
          </w:p>
        </w:tc>
        <w:tc>
          <w:tcPr>
            <w:tcW w:w="202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p>
        </w:tc>
        <w:tc>
          <w:tcPr>
            <w:tcW w:w="229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行政强制</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6</w:t>
            </w:r>
          </w:p>
        </w:tc>
        <w:tc>
          <w:tcPr>
            <w:tcW w:w="2025"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p>
        </w:tc>
        <w:tc>
          <w:tcPr>
            <w:tcW w:w="2295" w:type="dxa"/>
            <w:shd w:val="clear" w:color="auto" w:fill="auto"/>
          </w:tcPr>
          <w:p>
            <w:pPr>
              <w:spacing w:line="460" w:lineRule="exact"/>
              <w:jc w:val="left"/>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上一年项目数量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行政事业性收费</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4320" w:type="dxa"/>
            <w:gridSpan w:val="2"/>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信息内容</w:t>
            </w:r>
          </w:p>
        </w:tc>
        <w:tc>
          <w:tcPr>
            <w:tcW w:w="2460"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采购项目数量</w:t>
            </w:r>
          </w:p>
        </w:tc>
        <w:tc>
          <w:tcPr>
            <w:tcW w:w="4320" w:type="dxa"/>
            <w:gridSpan w:val="2"/>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政府集中采购</w:t>
            </w:r>
          </w:p>
        </w:tc>
        <w:tc>
          <w:tcPr>
            <w:tcW w:w="2460" w:type="dxa"/>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c>
          <w:tcPr>
            <w:tcW w:w="4320" w:type="dxa"/>
            <w:gridSpan w:val="2"/>
            <w:shd w:val="clear" w:color="auto" w:fill="auto"/>
          </w:tcPr>
          <w:p>
            <w:pPr>
              <w:spacing w:line="460" w:lineRule="exact"/>
              <w:jc w:val="left"/>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0</w:t>
            </w:r>
          </w:p>
        </w:tc>
      </w:tr>
    </w:tbl>
    <w:p>
      <w:pPr>
        <w:spacing w:line="540" w:lineRule="exact"/>
        <w:rPr>
          <w:rFonts w:hint="eastAsia" w:ascii="仿宋_GB2312" w:hAnsi="仿宋_GB2312" w:eastAsia="仿宋_GB2312" w:cs="仿宋_GB2312"/>
          <w:b/>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92" w:beforeAutospacing="0" w:after="157" w:afterLines="50" w:afterAutospacing="0" w:line="480" w:lineRule="atLeast"/>
        <w:ind w:left="0" w:right="0"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11"/>
        <w:gridCol w:w="3168"/>
        <w:gridCol w:w="516"/>
        <w:gridCol w:w="478"/>
        <w:gridCol w:w="455"/>
        <w:gridCol w:w="455"/>
        <w:gridCol w:w="455"/>
        <w:gridCol w:w="515"/>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pct"/>
            <w:gridSpan w:val="3"/>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本列数据的勾稽关系为：第一项加第二项之和，等于第三项加第四项之和</w:t>
            </w:r>
          </w:p>
        </w:tc>
        <w:tc>
          <w:tcPr>
            <w:tcW w:w="1992" w:type="pct"/>
            <w:gridSpan w:val="7"/>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pct"/>
            <w:gridSpan w:val="3"/>
            <w:vMerge w:val="continue"/>
            <w:shd w:val="clear" w:color="auto" w:fill="auto"/>
            <w:vAlign w:val="center"/>
          </w:tcPr>
          <w:p>
            <w:pPr>
              <w:spacing w:line="300" w:lineRule="exact"/>
              <w:jc w:val="center"/>
              <w:rPr>
                <w:rFonts w:hint="eastAsia" w:ascii="仿宋_GB2312" w:hAnsi="仿宋_GB2312" w:eastAsia="仿宋_GB2312" w:cs="仿宋_GB2312"/>
                <w:color w:val="auto"/>
                <w:sz w:val="24"/>
                <w:szCs w:val="24"/>
              </w:rPr>
            </w:pPr>
          </w:p>
        </w:tc>
        <w:tc>
          <w:tcPr>
            <w:tcW w:w="302"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自然人</w:t>
            </w:r>
          </w:p>
        </w:tc>
        <w:tc>
          <w:tcPr>
            <w:tcW w:w="1383" w:type="pct"/>
            <w:gridSpan w:val="5"/>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法人或其他组织</w:t>
            </w:r>
          </w:p>
        </w:tc>
        <w:tc>
          <w:tcPr>
            <w:tcW w:w="305"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3007" w:type="pct"/>
            <w:gridSpan w:val="3"/>
            <w:vMerge w:val="continue"/>
            <w:shd w:val="clear" w:color="auto" w:fill="auto"/>
            <w:vAlign w:val="center"/>
          </w:tcPr>
          <w:p>
            <w:pPr>
              <w:spacing w:line="300" w:lineRule="exact"/>
              <w:jc w:val="center"/>
              <w:rPr>
                <w:rFonts w:hint="eastAsia" w:ascii="仿宋_GB2312" w:hAnsi="仿宋_GB2312" w:eastAsia="仿宋_GB2312" w:cs="仿宋_GB2312"/>
                <w:color w:val="auto"/>
                <w:sz w:val="24"/>
                <w:szCs w:val="24"/>
              </w:rPr>
            </w:pPr>
          </w:p>
        </w:tc>
        <w:tc>
          <w:tcPr>
            <w:tcW w:w="302" w:type="pct"/>
            <w:vMerge w:val="continue"/>
            <w:shd w:val="clear" w:color="auto" w:fill="auto"/>
            <w:vAlign w:val="center"/>
          </w:tcPr>
          <w:p>
            <w:pPr>
              <w:spacing w:line="300" w:lineRule="exact"/>
              <w:jc w:val="center"/>
              <w:rPr>
                <w:rFonts w:hint="eastAsia" w:ascii="仿宋_GB2312" w:hAnsi="仿宋_GB2312" w:eastAsia="仿宋_GB2312" w:cs="仿宋_GB2312"/>
                <w:color w:val="auto"/>
                <w:sz w:val="24"/>
                <w:szCs w:val="24"/>
              </w:rPr>
            </w:pP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商业</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机构</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社会公益组织</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05" w:type="pct"/>
            <w:vMerge w:val="continue"/>
            <w:shd w:val="clear" w:color="auto" w:fill="auto"/>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pct"/>
            <w:gridSpan w:val="3"/>
            <w:shd w:val="clear" w:color="auto" w:fill="auto"/>
          </w:tcPr>
          <w:p>
            <w:pPr>
              <w:spacing w:line="30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color w:val="auto"/>
                <w:sz w:val="24"/>
                <w:szCs w:val="24"/>
              </w:rPr>
              <w:t>一</w:t>
            </w:r>
            <w:r>
              <w:rPr>
                <w:rFonts w:hint="eastAsia" w:ascii="仿宋_GB2312" w:hAnsi="仿宋_GB2312" w:eastAsia="仿宋_GB2312" w:cs="仿宋_GB2312"/>
                <w:color w:val="auto"/>
                <w:sz w:val="24"/>
                <w:szCs w:val="24"/>
              </w:rPr>
              <w:t>、本年新收政府信息公开申请数量</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7" w:type="pct"/>
            <w:gridSpan w:val="3"/>
            <w:shd w:val="clear" w:color="auto" w:fill="auto"/>
          </w:tcPr>
          <w:p>
            <w:pPr>
              <w:spacing w:line="30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color w:val="auto"/>
                <w:sz w:val="24"/>
                <w:szCs w:val="24"/>
              </w:rPr>
              <w:t>二</w:t>
            </w:r>
            <w:r>
              <w:rPr>
                <w:rFonts w:hint="eastAsia" w:ascii="仿宋_GB2312" w:hAnsi="仿宋_GB2312" w:eastAsia="仿宋_GB2312" w:cs="仿宋_GB2312"/>
                <w:color w:val="auto"/>
                <w:sz w:val="24"/>
                <w:szCs w:val="24"/>
              </w:rPr>
              <w:t>、上年结转政府信息公开申请数量</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三</w:t>
            </w:r>
            <w:r>
              <w:rPr>
                <w:rFonts w:hint="eastAsia" w:ascii="仿宋_GB2312" w:hAnsi="仿宋_GB2312" w:eastAsia="仿宋_GB2312" w:cs="仿宋_GB2312"/>
                <w:color w:val="auto"/>
                <w:sz w:val="24"/>
                <w:szCs w:val="24"/>
              </w:rPr>
              <w:t>、本年度办理结果</w:t>
            </w:r>
          </w:p>
        </w:tc>
        <w:tc>
          <w:tcPr>
            <w:tcW w:w="2452" w:type="pct"/>
            <w:gridSpan w:val="2"/>
            <w:shd w:val="clear" w:color="auto" w:fill="auto"/>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（一）予以公开</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2452" w:type="pct"/>
            <w:gridSpan w:val="2"/>
            <w:shd w:val="clear" w:color="auto" w:fill="auto"/>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（二）部分公开（区分处理的，只记这一情形，不记其他情形）</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（三）不予公开</w:t>
            </w: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1.属于国家秘密</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jc w:val="center"/>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2.其他法律行政法规禁止公开</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jc w:val="center"/>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3.危及“三安全一稳定”</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jc w:val="center"/>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4.保护第三方合法权益</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5.属于三类内部事务信息</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6.属于四类过程性信息</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7.属于行政执法案卷</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8.属于行政查询事项</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（四）无法提供</w:t>
            </w: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1.本机关不掌握相关政府信息</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2.没有现成信息需要另行制作</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3.补正后申请内容仍不明确</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restart"/>
            <w:shd w:val="clear" w:color="auto" w:fill="auto"/>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（五）不予处理</w:t>
            </w: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1.信访投诉举报类申请</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2.重复申请</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3.要求提供公开出版物</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4.无正当理由大量反复申请</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593"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1859" w:type="pct"/>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5.要求行政机关确认或重新出具已获取信息</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2452" w:type="pct"/>
            <w:gridSpan w:val="2"/>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（六）其他处理</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color w:val="auto"/>
                <w:sz w:val="24"/>
                <w:szCs w:val="24"/>
              </w:rPr>
            </w:pPr>
          </w:p>
        </w:tc>
        <w:tc>
          <w:tcPr>
            <w:tcW w:w="2452" w:type="pct"/>
            <w:gridSpan w:val="2"/>
            <w:shd w:val="clear" w:color="auto" w:fill="auto"/>
            <w:vAlign w:val="top"/>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（七）总计</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vMerge w:val="continue"/>
            <w:shd w:val="clear" w:color="auto" w:fill="auto"/>
          </w:tcPr>
          <w:p>
            <w:pPr>
              <w:spacing w:line="300" w:lineRule="exact"/>
              <w:rPr>
                <w:rFonts w:hint="eastAsia" w:ascii="仿宋_GB2312" w:hAnsi="仿宋_GB2312" w:eastAsia="仿宋_GB2312" w:cs="仿宋_GB2312"/>
                <w:b/>
                <w:color w:val="auto"/>
                <w:sz w:val="24"/>
                <w:szCs w:val="24"/>
              </w:rPr>
            </w:pPr>
          </w:p>
        </w:tc>
        <w:tc>
          <w:tcPr>
            <w:tcW w:w="2452" w:type="pct"/>
            <w:gridSpan w:val="2"/>
            <w:shd w:val="clear" w:color="auto" w:fill="auto"/>
          </w:tcPr>
          <w:p>
            <w:pPr>
              <w:spacing w:line="30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四</w:t>
            </w:r>
            <w:r>
              <w:rPr>
                <w:rFonts w:hint="eastAsia" w:ascii="仿宋_GB2312" w:hAnsi="仿宋_GB2312" w:eastAsia="仿宋_GB2312" w:cs="仿宋_GB2312"/>
                <w:color w:val="auto"/>
                <w:sz w:val="24"/>
                <w:szCs w:val="24"/>
              </w:rPr>
              <w:t>、结转下年度继续办理</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80"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67"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2"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305" w:type="pct"/>
            <w:shd w:val="clear" w:color="auto" w:fill="auto"/>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spacing w:line="540" w:lineRule="exact"/>
        <w:ind w:left="640"/>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行政复议</w:t>
            </w:r>
          </w:p>
        </w:tc>
        <w:tc>
          <w:tcPr>
            <w:tcW w:w="5680" w:type="dxa"/>
            <w:gridSpan w:val="10"/>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结果维护</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68" w:type="dxa"/>
            <w:vMerge w:val="restart"/>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2840" w:type="dxa"/>
            <w:gridSpan w:val="5"/>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hint="eastAsia" w:ascii="仿宋_GB2312" w:hAnsi="仿宋_GB2312" w:eastAsia="仿宋_GB2312" w:cs="仿宋_GB2312"/>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sz w:val="24"/>
              </w:rPr>
            </w:pPr>
          </w:p>
        </w:tc>
        <w:tc>
          <w:tcPr>
            <w:tcW w:w="568" w:type="dxa"/>
            <w:vMerge w:val="continue"/>
            <w:shd w:val="clear" w:color="auto" w:fill="auto"/>
            <w:vAlign w:val="center"/>
          </w:tcPr>
          <w:p>
            <w:pPr>
              <w:spacing w:line="540" w:lineRule="exact"/>
              <w:jc w:val="center"/>
              <w:rPr>
                <w:rFonts w:hint="eastAsia" w:ascii="仿宋_GB2312" w:hAnsi="仿宋_GB2312" w:eastAsia="仿宋_GB2312" w:cs="仿宋_GB2312"/>
                <w:sz w:val="24"/>
              </w:rPr>
            </w:pP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结果维护</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68" w:type="dxa"/>
            <w:shd w:val="clear" w:color="auto" w:fill="auto"/>
            <w:vAlign w:val="center"/>
          </w:tcPr>
          <w:p>
            <w:pPr>
              <w:spacing w:line="5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68" w:type="dxa"/>
            <w:shd w:val="clear" w:color="auto" w:fill="auto"/>
          </w:tcPr>
          <w:p>
            <w:pPr>
              <w:spacing w:line="54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val="0"/>
          <w:bCs/>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年在政府信息公开工作方面主要存在以下问题：一是信息公开工作机制有待进一步完善；二是信息公开的内容还不够充实。下一步，我局将</w:t>
      </w:r>
      <w:r>
        <w:rPr>
          <w:rFonts w:hint="eastAsia" w:ascii="仿宋_GB2312" w:hAnsi="仿宋_GB2312" w:eastAsia="仿宋_GB2312" w:cs="仿宋_GB2312"/>
          <w:i w:val="0"/>
          <w:caps w:val="0"/>
          <w:color w:val="333333"/>
          <w:spacing w:val="0"/>
          <w:sz w:val="32"/>
          <w:szCs w:val="32"/>
          <w:shd w:val="clear" w:fill="FFFFFF"/>
          <w:lang w:eastAsia="zh-CN"/>
        </w:rPr>
        <w:t>从以下几个方面改进：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1、统一认识，努力规范工作流程按照。</w:t>
      </w:r>
      <w:r>
        <w:rPr>
          <w:rFonts w:hint="eastAsia" w:ascii="仿宋_GB2312" w:hAnsi="仿宋_GB2312" w:eastAsia="仿宋_GB2312" w:cs="仿宋_GB2312"/>
          <w:i w:val="0"/>
          <w:caps w:val="0"/>
          <w:color w:val="333333"/>
          <w:spacing w:val="0"/>
          <w:sz w:val="32"/>
          <w:szCs w:val="32"/>
          <w:shd w:val="clear" w:fill="FFFFFF"/>
        </w:rPr>
        <w:t>“公开为原则，不公开为例外”的总体要求，紧紧围绕经济社会发展和人民群众关注关切，不断扩大文广新信息公开的范围，加强文化惠民信息发布和政策解读。进一步梳理本局在履行职责过程中制作或者获取的政府信息，及时提供，定期维护，确保政府信息公开工作能按照既定的工作流程有效运作，公众能够方便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rPr>
        <w:t>2、专人负责，保证公开的及时性</w:t>
      </w:r>
      <w:r>
        <w:rPr>
          <w:rFonts w:hint="eastAsia" w:ascii="楷体" w:hAnsi="楷体" w:eastAsia="楷体" w:cs="楷体"/>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eastAsia="zh-CN"/>
        </w:rPr>
        <w:t>安排专人做好资料收集整理工作，按时、按质在政府网站上发布信息，确保信息发布的及时性、准确性，科学高效地完成信息公开工作。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spacing w:before="3" w:line="338" w:lineRule="auto"/>
        <w:ind w:right="433" w:firstLine="631"/>
        <w:jc w:val="both"/>
        <w:rPr>
          <w:rFonts w:hint="eastAsia" w:ascii="仿宋_GB2312" w:hAnsi="仿宋_GB2312" w:eastAsia="仿宋_GB2312" w:cs="仿宋_GB2312"/>
          <w:sz w:val="32"/>
          <w:szCs w:val="32"/>
          <w:lang w:eastAsia="zh-CN"/>
        </w:rPr>
      </w:pPr>
      <w:r>
        <w:rPr>
          <w:color w:val="333333"/>
          <w:spacing w:val="-3"/>
          <w:w w:val="95"/>
        </w:rPr>
        <w:t>202</w:t>
      </w:r>
      <w:r>
        <w:rPr>
          <w:rFonts w:hint="eastAsia"/>
          <w:color w:val="333333"/>
          <w:spacing w:val="-3"/>
          <w:w w:val="95"/>
          <w:lang w:val="en-US" w:eastAsia="zh-CN"/>
        </w:rPr>
        <w:t>0</w:t>
      </w:r>
      <w:bookmarkStart w:id="0" w:name="_GoBack"/>
      <w:bookmarkEnd w:id="0"/>
      <w:r>
        <w:rPr>
          <w:color w:val="333333"/>
          <w:spacing w:val="-3"/>
          <w:w w:val="95"/>
        </w:rPr>
        <w:t>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F5AC2"/>
    <w:rsid w:val="072F4BA5"/>
    <w:rsid w:val="0F42566A"/>
    <w:rsid w:val="0FE32618"/>
    <w:rsid w:val="120D42C0"/>
    <w:rsid w:val="15A074FD"/>
    <w:rsid w:val="17534F7D"/>
    <w:rsid w:val="1B931963"/>
    <w:rsid w:val="1ED36505"/>
    <w:rsid w:val="22561B2B"/>
    <w:rsid w:val="23B06487"/>
    <w:rsid w:val="2480713E"/>
    <w:rsid w:val="28374392"/>
    <w:rsid w:val="32FD4EB9"/>
    <w:rsid w:val="336264F4"/>
    <w:rsid w:val="519D4381"/>
    <w:rsid w:val="566E50F8"/>
    <w:rsid w:val="56857A37"/>
    <w:rsid w:val="5B7E23AC"/>
    <w:rsid w:val="5C106C85"/>
    <w:rsid w:val="5FCE6A83"/>
    <w:rsid w:val="6EB526D3"/>
    <w:rsid w:val="6EC41F3F"/>
    <w:rsid w:val="788076DC"/>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68"/>
      <w:ind w:left="215"/>
    </w:pPr>
    <w:rPr>
      <w:rFonts w:ascii="仿宋_GB2312" w:hAnsi="仿宋_GB2312" w:eastAsia="仿宋_GB2312" w:cs="仿宋_GB2312"/>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2081</Words>
  <Characters>2147</Characters>
  <Lines>0</Lines>
  <Paragraphs>0</Paragraphs>
  <TotalTime>0</TotalTime>
  <ScaleCrop>false</ScaleCrop>
  <LinksUpToDate>false</LinksUpToDate>
  <CharactersWithSpaces>2151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兔先森 </cp:lastModifiedBy>
  <dcterms:modified xsi:type="dcterms:W3CDTF">2023-01-19T06:22:38Z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251721047_btnclosed</vt:lpwstr>
  </property>
  <property fmtid="{D5CDD505-2E9C-101B-9397-08002B2CF9AE}" pid="4" name="ICV">
    <vt:lpwstr>D928D8CCEC464B8B9DD738F0CDE6519D</vt:lpwstr>
  </property>
</Properties>
</file>