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292" w:beforeLines="50" w:line="6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樟树市城管局2021年政府信息公开工作</w:t>
      </w:r>
    </w:p>
    <w:p>
      <w:pPr>
        <w:keepNext w:val="0"/>
        <w:keepLines w:val="0"/>
        <w:pageBreakBefore w:val="0"/>
        <w:widowControl w:val="0"/>
        <w:kinsoku/>
        <w:wordWrap/>
        <w:overflowPunct/>
        <w:topLinePunct w:val="0"/>
        <w:autoSpaceDE/>
        <w:autoSpaceDN/>
        <w:bidi w:val="0"/>
        <w:adjustRightInd/>
        <w:snapToGrid/>
        <w:spacing w:after="292" w:afterLines="50" w:line="6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年度报告</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lang w:val="en-US" w:eastAsia="zh-CN"/>
        </w:rPr>
      </w:pPr>
      <w:r>
        <w:rPr>
          <w:rFonts w:hint="eastAsia" w:ascii="仿宋" w:hAnsi="仿宋" w:eastAsia="仿宋_GB2312" w:cs="仿宋"/>
          <w:lang w:val="en-US" w:eastAsia="zh-CN"/>
        </w:rPr>
        <w:t>本报告依据《中华人民共和国政府信息公开条例》（国务院令第711号，以下简称新《条例》）和《国务院办公厅政府信息与政务公开办公室关于政府信息公开工作年度报告有关事项的通知》（国办公开办函〔2021〕30号）文件</w:t>
      </w:r>
      <w:bookmarkStart w:id="0" w:name="_GoBack"/>
      <w:bookmarkEnd w:id="0"/>
      <w:r>
        <w:rPr>
          <w:rFonts w:hint="eastAsia" w:ascii="仿宋" w:hAnsi="仿宋" w:eastAsia="仿宋_GB2312" w:cs="仿宋"/>
          <w:lang w:val="en-US" w:eastAsia="zh-CN"/>
        </w:rPr>
        <w:t>要求，由樟树市城管局结合樟树市人民政府网站、樟树市政府信息公开平台等有关统计数据编制。本年度报告中所列数据的统计期限自2021年1月1日起至2021年12月31日止。全文包括总体情况，行政机关主动公开政府信息情况，行政机关收到和处理政府信息公开申请情况，因政府信息公开工作被申请行政复议、提起行政诉讼情况，政府信息公开工作存在的主要问题及改进情况，其他需要报告的事项共六部分组成。本年度报告的电子版可以从樟树市人民政府网站（http://www.zhangshu.gov.cn）下载。如对本报告有任何疑问，请与樟树市城管局联系（地址：樟树市杏佛路63号，电话：0795-7364656，邮编：331200）。</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eastAsia" w:ascii="黑体" w:hAnsi="黑体" w:eastAsia="黑体" w:cs="黑体"/>
          <w:lang w:val="en-US" w:eastAsia="zh-CN"/>
        </w:rPr>
      </w:pPr>
      <w:r>
        <w:rPr>
          <w:rFonts w:hint="eastAsia" w:ascii="黑体" w:hAnsi="黑体" w:eastAsia="黑体" w:cs="黑体"/>
          <w:lang w:val="en-US" w:eastAsia="zh-CN"/>
        </w:rPr>
        <w:t>一、总体情况</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_GB2312" w:hAnsi="宋体" w:eastAsia="仿宋_GB2312" w:cs="仿宋_GB2312"/>
          <w:i w:val="0"/>
          <w:iCs w:val="0"/>
          <w:caps w:val="0"/>
          <w:color w:val="333333"/>
          <w:spacing w:val="0"/>
          <w:sz w:val="32"/>
          <w:szCs w:val="32"/>
          <w:shd w:val="clear" w:fill="FFFFFF"/>
        </w:rPr>
      </w:pPr>
      <w:r>
        <w:rPr>
          <w:rFonts w:ascii="仿宋_GB2312" w:hAnsi="宋体" w:eastAsia="仿宋_GB2312" w:cs="仿宋_GB2312"/>
          <w:i w:val="0"/>
          <w:iCs w:val="0"/>
          <w:caps w:val="0"/>
          <w:color w:val="333333"/>
          <w:spacing w:val="0"/>
          <w:sz w:val="32"/>
          <w:szCs w:val="32"/>
          <w:shd w:val="clear" w:fill="FFFFFF"/>
        </w:rPr>
        <w:t>2021</w:t>
      </w:r>
      <w:r>
        <w:rPr>
          <w:rFonts w:hint="default" w:ascii="仿宋_GB2312" w:hAnsi="宋体" w:eastAsia="仿宋_GB2312" w:cs="仿宋_GB2312"/>
          <w:i w:val="0"/>
          <w:iCs w:val="0"/>
          <w:caps w:val="0"/>
          <w:color w:val="333333"/>
          <w:spacing w:val="0"/>
          <w:sz w:val="32"/>
          <w:szCs w:val="32"/>
          <w:shd w:val="clear" w:fill="FFFFFF"/>
        </w:rPr>
        <w:t>年，我局坚持以习近平新时代中国特色社会主义思想为指导，全面贯彻落实党的十九大和十九届二中、三中、四中、五中、六中全会精神，紧紧围绕</w:t>
      </w:r>
      <w:r>
        <w:rPr>
          <w:rFonts w:hint="eastAsia" w:ascii="仿宋_GB2312" w:hAnsi="宋体" w:eastAsia="仿宋_GB2312" w:cs="仿宋_GB2312"/>
          <w:i w:val="0"/>
          <w:iCs w:val="0"/>
          <w:caps w:val="0"/>
          <w:color w:val="333333"/>
          <w:spacing w:val="0"/>
          <w:sz w:val="32"/>
          <w:szCs w:val="32"/>
          <w:shd w:val="clear" w:fill="FFFFFF"/>
          <w:lang w:eastAsia="zh-CN"/>
        </w:rPr>
        <w:t>市委市政府</w:t>
      </w:r>
      <w:r>
        <w:rPr>
          <w:rFonts w:hint="default" w:ascii="仿宋_GB2312" w:hAnsi="宋体" w:eastAsia="仿宋_GB2312" w:cs="仿宋_GB2312"/>
          <w:i w:val="0"/>
          <w:iCs w:val="0"/>
          <w:caps w:val="0"/>
          <w:color w:val="333333"/>
          <w:spacing w:val="0"/>
          <w:sz w:val="32"/>
          <w:szCs w:val="32"/>
          <w:shd w:val="clear" w:fill="FFFFFF"/>
        </w:rPr>
        <w:t>的决策部署，严格落实《中华人民共和国政府信息公开条例》（以下简称《条例》）规定和要求，坚持以人民为中心的服务宗旨，聚焦城市管理服务，持续深入推进政务公开，政府工作透明度进一步提高。</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(一)主动公开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default" w:ascii="仿宋_GB2312" w:hAnsi="宋体" w:eastAsia="仿宋_GB2312" w:cs="仿宋_GB2312"/>
          <w:i w:val="0"/>
          <w:iCs w:val="0"/>
          <w:caps w:val="0"/>
          <w:color w:val="333333"/>
          <w:spacing w:val="0"/>
          <w:kern w:val="2"/>
          <w:sz w:val="32"/>
          <w:szCs w:val="32"/>
          <w:shd w:val="clear" w:fill="FFFFFF"/>
          <w:lang w:val="en-US" w:eastAsia="zh-CN" w:bidi="ar-SA"/>
        </w:rPr>
      </w:pPr>
      <w:r>
        <w:rPr>
          <w:rFonts w:hint="eastAsia" w:ascii="仿宋_GB2312" w:hAnsi="宋体" w:eastAsia="仿宋_GB2312" w:cs="仿宋_GB2312"/>
          <w:i w:val="0"/>
          <w:iCs w:val="0"/>
          <w:caps w:val="0"/>
          <w:color w:val="333333"/>
          <w:spacing w:val="0"/>
          <w:kern w:val="2"/>
          <w:sz w:val="32"/>
          <w:szCs w:val="32"/>
          <w:shd w:val="clear" w:fill="FFFFFF"/>
          <w:lang w:val="en-US" w:eastAsia="zh-CN" w:bidi="ar-SA"/>
        </w:rPr>
        <w:t>一是持续做好信息公开更新。根据市政府《2021年樟树市政务公开工作要点》《樟树市2021年政务公开工作考评方案》等文件要求，我局始终坚持以公开为常态、不公开为例外，遵循公正、公平、合法、便民的原则，对应该公开的信息予以分类公开，保证政务信息公开的范围、层次符合要求。本年度我局在政府网站信息公开栏目共累计公开（更新）信息108条,其中机构职能信息2条，工作动态69条，财经信息10条，政策文件信息2条，政策解读信息2条，行政执法信息23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仿宋_GB2312" w:hAnsi="宋体" w:eastAsia="仿宋_GB2312" w:cs="仿宋_GB2312"/>
          <w:i w:val="0"/>
          <w:iCs w:val="0"/>
          <w:caps w:val="0"/>
          <w:color w:val="333333"/>
          <w:spacing w:val="0"/>
          <w:kern w:val="2"/>
          <w:sz w:val="32"/>
          <w:szCs w:val="32"/>
          <w:shd w:val="clear" w:fill="FFFFFF"/>
          <w:lang w:val="en-US" w:eastAsia="zh-CN" w:bidi="ar-SA"/>
        </w:rPr>
      </w:pPr>
      <w:r>
        <w:rPr>
          <w:rFonts w:hint="eastAsia" w:ascii="仿宋_GB2312" w:hAnsi="宋体" w:eastAsia="仿宋_GB2312" w:cs="仿宋_GB2312"/>
          <w:i w:val="0"/>
          <w:iCs w:val="0"/>
          <w:caps w:val="0"/>
          <w:color w:val="333333"/>
          <w:spacing w:val="0"/>
          <w:kern w:val="2"/>
          <w:sz w:val="32"/>
          <w:szCs w:val="32"/>
          <w:shd w:val="clear" w:fill="FFFFFF"/>
          <w:lang w:val="en-US" w:eastAsia="zh-CN" w:bidi="ar-SA"/>
        </w:rPr>
        <w:t>二是实行重大决策预公开制度，提高群众知晓度。对涉及群众切身利益、需要社会广泛知晓的重大行政决策，除依法应当保密的外，决策前通过政府网站向社会公布决策草案及背景介绍，广泛听取公众意见，并以适当方式及时公开意见收集汇总情况、采纳情况和未予采纳的理由等，扩大公众参与度，使政策执行更加阳光透明。本年度在政府网站上分别对《樟树市老城区污水专项规划（2020—2035年）》《樟树市城市夜景照明专项规划 （2020—2030年）》《樟树市开展美丽乡镇建设五年行动工作方案》《樟树市2021年生活垃圾分类和减量工作实施方案》四个内容进行了意见征集，并及时将意见征集结果进行了公示。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default" w:ascii="微软雅黑" w:hAnsi="微软雅黑" w:eastAsia="微软雅黑" w:cs="微软雅黑"/>
          <w:i w:val="0"/>
          <w:iCs w:val="0"/>
          <w:caps w:val="0"/>
          <w:color w:val="333333"/>
          <w:spacing w:val="0"/>
          <w:sz w:val="25"/>
          <w:szCs w:val="25"/>
          <w:lang w:val="en-US"/>
        </w:rPr>
      </w:pPr>
      <w:r>
        <w:rPr>
          <w:rFonts w:hint="eastAsia" w:ascii="仿宋_GB2312" w:hAnsi="宋体" w:eastAsia="仿宋_GB2312" w:cs="仿宋_GB2312"/>
          <w:i w:val="0"/>
          <w:iCs w:val="0"/>
          <w:caps w:val="0"/>
          <w:color w:val="333333"/>
          <w:spacing w:val="0"/>
          <w:kern w:val="2"/>
          <w:sz w:val="32"/>
          <w:szCs w:val="32"/>
          <w:shd w:val="clear" w:fill="FFFFFF"/>
          <w:lang w:val="en-US" w:eastAsia="zh-CN" w:bidi="ar-SA"/>
        </w:rPr>
        <w:t>三是深化“放管服”改革，提升政务服务效能。对行政权力清单进行了全面清理，对保留的行政审批事项，以“集中、精简、高效、便捷”为目标，制定了办事指南、格式文本，做到应简尽简，实现了“一窗综合受理”、全程服务，让企业和群众办事更方便、更快捷、更有效率；推行“帮代办”“邮寄办”“掌上办”，实行预约服务，极大地方便企业和群众办事。本年度受理并办结各类行政许可464件。</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(二)依申请公开</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_GB2312" w:hAnsi="宋体" w:eastAsia="仿宋_GB2312" w:cs="仿宋_GB2312"/>
          <w:i w:val="0"/>
          <w:iCs w:val="0"/>
          <w:caps w:val="0"/>
          <w:color w:val="333333"/>
          <w:spacing w:val="0"/>
          <w:kern w:val="2"/>
          <w:sz w:val="32"/>
          <w:szCs w:val="32"/>
          <w:shd w:val="clear" w:fill="FFFFFF"/>
          <w:lang w:val="en-US" w:eastAsia="zh-CN" w:bidi="ar-SA"/>
        </w:rPr>
      </w:pPr>
      <w:r>
        <w:rPr>
          <w:rFonts w:hint="eastAsia" w:ascii="仿宋_GB2312" w:hAnsi="宋体" w:eastAsia="仿宋_GB2312" w:cs="仿宋_GB2312"/>
          <w:i w:val="0"/>
          <w:iCs w:val="0"/>
          <w:caps w:val="0"/>
          <w:color w:val="333333"/>
          <w:spacing w:val="0"/>
          <w:kern w:val="2"/>
          <w:sz w:val="32"/>
          <w:szCs w:val="32"/>
          <w:shd w:val="clear" w:fill="FFFFFF"/>
          <w:lang w:val="en-US" w:eastAsia="zh-CN" w:bidi="ar-SA"/>
        </w:rPr>
        <w:t>我局认真贯彻落实《国务院办公厅关于做好政府信息依申请公开工作的意见》，结合工作实际，及时更新完善发布政务信息公开指南，健全依申请公开受理流程，严格按照时限要求办理依申请公开事项，严格按照有关规定对申请公开的政府信息作出答复，对申请公开的政府信息进行保密审查，确保政府信息依申请公开工作依法依规进行，保障公民、法人或其他组织获取政府信息的合法权益。本年度未收到依申请公开办理事项。</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楷体" w:hAnsi="楷体" w:eastAsia="楷体" w:cs="楷体"/>
          <w:b/>
          <w:bCs/>
          <w:lang w:val="en-US" w:eastAsia="zh-CN"/>
        </w:rPr>
      </w:pPr>
      <w:r>
        <w:rPr>
          <w:rFonts w:hint="eastAsia" w:ascii="楷体" w:hAnsi="楷体" w:eastAsia="楷体" w:cs="楷体"/>
          <w:b/>
          <w:bCs/>
          <w:lang w:val="en-US" w:eastAsia="zh-CN"/>
        </w:rPr>
        <w:t>(三)政府信息管理</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_GB2312" w:hAnsi="宋体" w:eastAsia="仿宋_GB2312" w:cs="仿宋_GB2312"/>
          <w:i w:val="0"/>
          <w:iCs w:val="0"/>
          <w:caps w:val="0"/>
          <w:color w:val="333333"/>
          <w:spacing w:val="0"/>
          <w:kern w:val="2"/>
          <w:sz w:val="32"/>
          <w:szCs w:val="32"/>
          <w:shd w:val="clear" w:fill="FFFFFF"/>
          <w:lang w:val="en-US" w:eastAsia="zh-CN" w:bidi="ar-SA"/>
        </w:rPr>
      </w:pPr>
      <w:r>
        <w:rPr>
          <w:rFonts w:hint="eastAsia" w:ascii="仿宋_GB2312" w:hAnsi="宋体" w:eastAsia="仿宋_GB2312" w:cs="仿宋_GB2312"/>
          <w:i w:val="0"/>
          <w:iCs w:val="0"/>
          <w:caps w:val="0"/>
          <w:color w:val="333333"/>
          <w:spacing w:val="0"/>
          <w:kern w:val="2"/>
          <w:sz w:val="32"/>
          <w:szCs w:val="32"/>
          <w:shd w:val="clear" w:fill="FFFFFF"/>
          <w:lang w:val="en-US" w:eastAsia="zh-CN" w:bidi="ar-SA"/>
        </w:rPr>
        <w:t>一是落实各项政务公开制度。严格落实信息审核制度，对公开信息进行层层把关，逐级审批，确保信息发布的时效性、保密性、安全性和合法性，防止表述不当、错别字等问题出现。二是健全政务宣传工作制度。整合城管系统宣传通讯员，建立政务信息员队伍，做好信息收集、信息报送和审核发布等工作，确保政务信息工作有队伍、有触角、有抓手。</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(四)政府信息公开平台建设</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_GB2312" w:hAnsi="宋体" w:eastAsia="仿宋_GB2312" w:cs="仿宋_GB2312"/>
          <w:i w:val="0"/>
          <w:iCs w:val="0"/>
          <w:caps w:val="0"/>
          <w:color w:val="333333"/>
          <w:spacing w:val="0"/>
          <w:kern w:val="2"/>
          <w:sz w:val="32"/>
          <w:szCs w:val="32"/>
          <w:shd w:val="clear" w:fill="FFFFFF"/>
          <w:lang w:val="en-US" w:eastAsia="zh-CN" w:bidi="ar-SA"/>
        </w:rPr>
      </w:pPr>
      <w:r>
        <w:rPr>
          <w:rFonts w:hint="eastAsia" w:ascii="仿宋_GB2312" w:hAnsi="宋体" w:eastAsia="仿宋_GB2312" w:cs="仿宋_GB2312"/>
          <w:i w:val="0"/>
          <w:iCs w:val="0"/>
          <w:caps w:val="0"/>
          <w:color w:val="333333"/>
          <w:spacing w:val="0"/>
          <w:kern w:val="2"/>
          <w:sz w:val="32"/>
          <w:szCs w:val="32"/>
          <w:shd w:val="clear" w:fill="FFFFFF"/>
          <w:lang w:val="en-US" w:eastAsia="zh-CN" w:bidi="ar-SA"/>
        </w:rPr>
        <w:t>我局坚持多渠道、多形式开展政务公开工作，努力使政务公开工作以更加生动直观的形式展现出来。一是加大网络渠道公开力度。充分利用美篇等新媒体平台灵活便捷的优势，做好宣传工作，进一步增强公开时效，提升服务水平。二是深入开展各类垃圾分类宣传活动。采取发放宣传资料、开展有奖竞答、垃圾分类进小区广场等多种形式，普及垃圾分类知识，提升公众对垃圾分类的知晓度，增强公众垃圾分类意识。三是通过主动公开12345热线、投诉电话等方式回应城市管理工作相关问题。受理“12345”政府服务热线转交案件1540余件，办结率100%；受理各类信访件70余件，按时办理率、办结率均为100%。</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(五)监督保障</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_GB2312" w:hAnsi="宋体" w:eastAsia="仿宋_GB2312" w:cs="仿宋_GB2312"/>
          <w:i w:val="0"/>
          <w:iCs w:val="0"/>
          <w:caps w:val="0"/>
          <w:color w:val="333333"/>
          <w:spacing w:val="0"/>
          <w:kern w:val="2"/>
          <w:sz w:val="32"/>
          <w:szCs w:val="32"/>
          <w:shd w:val="clear" w:fill="FFFFFF"/>
          <w:lang w:val="en-US" w:eastAsia="zh-CN" w:bidi="ar-SA"/>
        </w:rPr>
      </w:pPr>
      <w:r>
        <w:rPr>
          <w:rFonts w:hint="eastAsia" w:ascii="仿宋_GB2312" w:hAnsi="宋体" w:eastAsia="仿宋_GB2312" w:cs="仿宋_GB2312"/>
          <w:i w:val="0"/>
          <w:iCs w:val="0"/>
          <w:caps w:val="0"/>
          <w:color w:val="333333"/>
          <w:spacing w:val="0"/>
          <w:kern w:val="2"/>
          <w:sz w:val="32"/>
          <w:szCs w:val="32"/>
          <w:shd w:val="clear" w:fill="FFFFFF"/>
          <w:lang w:val="en-US" w:eastAsia="zh-CN" w:bidi="ar-SA"/>
        </w:rPr>
        <w:t>我局高度重视政府信息公开，将其纳入常规工作来抓，明确专人负责，各股室配合，建立起政府信息公开工作机制，确保政府信息公开工作有负责领导、有具体经办人、有反馈协调人员。坚持“严格依法、全面真实、注重实效、及时便民”的政府信息公开原则，根据不同时期我局工作的重点，深入推行政府信息公开工作，努力提高工作透明度。建立长效工作机制，完善政府信息公开的统计分析、考核监管、责任追究等制度。</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eastAsia" w:ascii="黑体" w:hAnsi="黑体" w:eastAsia="黑体" w:cs="黑体"/>
          <w:lang w:val="en-US" w:eastAsia="zh-CN"/>
        </w:rPr>
      </w:pPr>
      <w:r>
        <w:rPr>
          <w:rFonts w:hint="eastAsia" w:ascii="黑体" w:hAnsi="黑体" w:eastAsia="黑体" w:cs="黑体"/>
          <w:lang w:val="en-US" w:eastAsia="zh-CN"/>
        </w:rPr>
        <w:t>二、行政机关主动公开政府信息情况</w:t>
      </w:r>
    </w:p>
    <w:tbl>
      <w:tblPr>
        <w:tblStyle w:val="5"/>
        <w:tblW w:w="9039" w:type="dxa"/>
        <w:jc w:val="center"/>
        <w:shd w:val="clear" w:color="auto" w:fill="auto"/>
        <w:tblLayout w:type="fixed"/>
        <w:tblCellMar>
          <w:top w:w="0" w:type="dxa"/>
          <w:left w:w="0" w:type="dxa"/>
          <w:bottom w:w="0" w:type="dxa"/>
          <w:right w:w="0" w:type="dxa"/>
        </w:tblCellMar>
      </w:tblPr>
      <w:tblGrid>
        <w:gridCol w:w="1734"/>
        <w:gridCol w:w="2435"/>
        <w:gridCol w:w="2435"/>
        <w:gridCol w:w="2435"/>
      </w:tblGrid>
      <w:tr>
        <w:tblPrEx>
          <w:tblCellMar>
            <w:top w:w="0" w:type="dxa"/>
            <w:left w:w="0" w:type="dxa"/>
            <w:bottom w:w="0" w:type="dxa"/>
            <w:right w:w="0" w:type="dxa"/>
          </w:tblCellMar>
        </w:tblPrEx>
        <w:trPr>
          <w:trHeight w:val="340" w:hRule="atLeast"/>
          <w:jc w:val="center"/>
        </w:trPr>
        <w:tc>
          <w:tcPr>
            <w:tcW w:w="9039"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ascii="Calibri" w:hAnsi="Calibri" w:cs="Calibri"/>
                <w:kern w:val="0"/>
                <w:sz w:val="21"/>
                <w:szCs w:val="21"/>
                <w:lang w:val="en-US" w:eastAsia="zh-CN" w:bidi="ar"/>
              </w:rPr>
            </w:pPr>
            <w:r>
              <w:rPr>
                <w:rFonts w:hint="eastAsia" w:ascii="Calibri" w:hAnsi="Calibri" w:cs="Calibri"/>
                <w:kern w:val="0"/>
                <w:sz w:val="21"/>
                <w:szCs w:val="21"/>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ascii="Calibri" w:hAnsi="Calibri" w:cs="Calibri"/>
                <w:kern w:val="0"/>
                <w:sz w:val="21"/>
                <w:szCs w:val="21"/>
                <w:lang w:val="en-US" w:eastAsia="zh-CN" w:bidi="ar"/>
              </w:rPr>
            </w:pPr>
            <w:r>
              <w:rPr>
                <w:rFonts w:hint="eastAsia" w:ascii="Calibri" w:hAnsi="Calibri" w:cs="Calibri"/>
                <w:kern w:val="0"/>
                <w:sz w:val="21"/>
                <w:szCs w:val="21"/>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ascii="Calibri" w:hAnsi="Calibri" w:cs="Calibri"/>
                <w:kern w:val="0"/>
                <w:sz w:val="21"/>
                <w:szCs w:val="21"/>
                <w:lang w:val="en-US" w:eastAsia="zh-CN" w:bidi="ar"/>
              </w:rPr>
            </w:pPr>
            <w:r>
              <w:rPr>
                <w:rFonts w:hint="eastAsia" w:ascii="Calibri" w:hAnsi="Calibri" w:cs="Calibri"/>
                <w:kern w:val="0"/>
                <w:sz w:val="21"/>
                <w:szCs w:val="21"/>
                <w:lang w:val="en-US" w:eastAsia="zh-CN" w:bidi="ar"/>
              </w:rPr>
              <w:t>0</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ascii="Calibri" w:hAnsi="Calibri" w:cs="Calibri"/>
                <w:kern w:val="0"/>
                <w:sz w:val="21"/>
                <w:szCs w:val="21"/>
                <w:lang w:val="en-US" w:eastAsia="zh-CN" w:bidi="ar"/>
              </w:rPr>
            </w:pPr>
            <w:r>
              <w:rPr>
                <w:rFonts w:hint="eastAsia" w:ascii="Calibri" w:hAnsi="Calibri" w:cs="Calibri"/>
                <w:kern w:val="0"/>
                <w:sz w:val="21"/>
                <w:szCs w:val="21"/>
                <w:lang w:val="en-US" w:eastAsia="zh-CN" w:bidi="ar"/>
              </w:rPr>
              <w:t>1</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ascii="Calibri" w:hAnsi="Calibri" w:cs="Calibri"/>
                <w:kern w:val="0"/>
                <w:sz w:val="21"/>
                <w:szCs w:val="21"/>
                <w:lang w:val="en-US" w:eastAsia="zh-CN" w:bidi="ar"/>
              </w:rPr>
            </w:pPr>
            <w:r>
              <w:rPr>
                <w:rFonts w:hint="eastAsia" w:ascii="Calibri" w:hAnsi="Calibri" w:cs="Calibri"/>
                <w:kern w:val="0"/>
                <w:sz w:val="21"/>
                <w:szCs w:val="21"/>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ascii="Calibri" w:hAnsi="Calibri" w:cs="Calibri"/>
                <w:kern w:val="0"/>
                <w:sz w:val="21"/>
                <w:szCs w:val="21"/>
                <w:lang w:val="en-US" w:eastAsia="zh-CN" w:bidi="ar"/>
              </w:rPr>
            </w:pPr>
            <w:r>
              <w:rPr>
                <w:rFonts w:hint="eastAsia" w:ascii="Calibri" w:hAnsi="Calibri" w:cs="Calibri"/>
                <w:kern w:val="0"/>
                <w:sz w:val="21"/>
                <w:szCs w:val="21"/>
                <w:lang w:val="en-US" w:eastAsia="zh-CN" w:bidi="ar"/>
              </w:rPr>
              <w:t>4</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pPr>
            <w:r>
              <w:rPr>
                <w:rFonts w:hint="eastAsia" w:ascii="Calibri" w:hAnsi="Calibri" w:cs="Calibri"/>
                <w:kern w:val="0"/>
                <w:sz w:val="21"/>
                <w:szCs w:val="21"/>
                <w:lang w:val="en-US" w:eastAsia="zh-CN" w:bidi="ar"/>
              </w:rPr>
              <w:t>464</w:t>
            </w:r>
            <w:r>
              <w:rPr>
                <w:rFonts w:hint="default" w:ascii="Calibri" w:hAnsi="Calibri" w:eastAsia="仿宋" w:cs="Calibri"/>
                <w:kern w:val="0"/>
                <w:sz w:val="21"/>
                <w:szCs w:val="21"/>
                <w:lang w:val="en-US" w:eastAsia="zh-CN" w:bidi="ar"/>
              </w:rPr>
              <w:t> </w:t>
            </w:r>
          </w:p>
        </w:tc>
      </w:tr>
      <w:tr>
        <w:tblPrEx>
          <w:shd w:val="clear" w:color="auto" w:fill="auto"/>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default"/>
                <w:lang w:val="en-US"/>
              </w:rPr>
            </w:pPr>
            <w:r>
              <w:rPr>
                <w:rFonts w:hint="eastAsia" w:ascii="Calibri" w:hAnsi="Calibri" w:cs="Calibri"/>
                <w:kern w:val="0"/>
                <w:sz w:val="21"/>
                <w:szCs w:val="21"/>
                <w:lang w:val="en-US" w:eastAsia="zh-CN" w:bidi="ar"/>
              </w:rPr>
              <w:t>　140</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pPr>
            <w:r>
              <w:rPr>
                <w:rFonts w:hint="eastAsia" w:ascii="Calibri" w:hAnsi="Calibri" w:cs="Calibri"/>
                <w:kern w:val="0"/>
                <w:sz w:val="21"/>
                <w:szCs w:val="21"/>
                <w:lang w:val="en-US" w:eastAsia="zh-CN" w:bidi="ar"/>
              </w:rPr>
              <w:t>0　</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default" w:ascii="宋体" w:eastAsia="仿宋"/>
                <w:sz w:val="24"/>
                <w:szCs w:val="24"/>
                <w:lang w:val="en-US" w:eastAsia="zh-CN"/>
              </w:rPr>
            </w:pPr>
            <w:r>
              <w:rPr>
                <w:rFonts w:hint="eastAsia" w:ascii="宋体"/>
                <w:sz w:val="24"/>
                <w:szCs w:val="24"/>
                <w:lang w:val="en-US" w:eastAsia="zh-CN"/>
              </w:rPr>
              <w:t>289.16</w:t>
            </w:r>
          </w:p>
        </w:tc>
      </w:tr>
    </w:tbl>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三、行政机关收到和处理政府信息公开申请情况</w:t>
      </w:r>
    </w:p>
    <w:tbl>
      <w:tblPr>
        <w:tblStyle w:val="5"/>
        <w:tblW w:w="90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18"/>
        <w:gridCol w:w="835"/>
        <w:gridCol w:w="257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ascii="楷体" w:hAnsi="楷体" w:eastAsia="楷体" w:cs="楷体"/>
                <w:kern w:val="0"/>
                <w:sz w:val="20"/>
                <w:szCs w:val="20"/>
                <w:lang w:val="en-US" w:eastAsia="zh-CN" w:bidi="ar"/>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法人或其他组织</w:t>
            </w:r>
          </w:p>
        </w:tc>
        <w:tc>
          <w:tcPr>
            <w:tcW w:w="688"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其他</w:t>
            </w:r>
          </w:p>
        </w:tc>
        <w:tc>
          <w:tcPr>
            <w:tcW w:w="688"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三、本年度办理结果</w:t>
            </w: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（三）不予公开</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（四）无法提供</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（五）不予处理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 xml:space="preserve">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79" w:hRule="atLeast"/>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（六）其他处理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bl>
    <w:p>
      <w:pPr>
        <w:keepNext w:val="0"/>
        <w:keepLines w:val="0"/>
        <w:pageBreakBefore w:val="0"/>
        <w:widowControl w:val="0"/>
        <w:kinsoku/>
        <w:wordWrap/>
        <w:overflowPunct/>
        <w:topLinePunct w:val="0"/>
        <w:autoSpaceDE/>
        <w:autoSpaceDN/>
        <w:bidi w:val="0"/>
        <w:adjustRightInd/>
        <w:snapToGrid/>
        <w:ind w:firstLine="608" w:firstLineChars="200"/>
        <w:textAlignment w:val="auto"/>
        <w:outlineLvl w:val="9"/>
        <w:rPr>
          <w:rFonts w:hint="default" w:ascii="仿宋" w:hAnsi="仿宋" w:eastAsia="仿宋_GB2312" w:cs="仿宋"/>
          <w:highlight w:val="cyan"/>
          <w:lang w:val="en-US" w:eastAsia="zh-CN"/>
        </w:rPr>
      </w:pPr>
      <w:r>
        <w:rPr>
          <w:rFonts w:hint="eastAsia" w:ascii="黑体" w:hAnsi="黑体" w:eastAsia="黑体" w:cs="黑体"/>
          <w:spacing w:val="-6"/>
          <w:lang w:val="en-US" w:eastAsia="zh-CN"/>
        </w:rPr>
        <w:t>四、因政府信息公开工作被申请行政复议、提起行政诉讼情况</w:t>
      </w:r>
    </w:p>
    <w:tbl>
      <w:tblPr>
        <w:tblStyle w:val="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619"/>
        <w:gridCol w:w="619"/>
        <w:gridCol w:w="619"/>
        <w:gridCol w:w="619"/>
        <w:gridCol w:w="619"/>
        <w:gridCol w:w="619"/>
        <w:gridCol w:w="619"/>
        <w:gridCol w:w="619"/>
        <w:gridCol w:w="619"/>
        <w:gridCol w:w="619"/>
        <w:gridCol w:w="619"/>
        <w:gridCol w:w="619"/>
        <w:gridCol w:w="620"/>
        <w:gridCol w:w="620"/>
        <w:gridCol w:w="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行政复议</w:t>
            </w:r>
          </w:p>
        </w:tc>
        <w:tc>
          <w:tcPr>
            <w:tcW w:w="6193"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结果维持</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纠正</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审结</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未经复议直接起诉</w:t>
            </w:r>
          </w:p>
        </w:tc>
        <w:tc>
          <w:tcPr>
            <w:tcW w:w="3098"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纠正</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审结</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纠正</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审结</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bl>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五、政府信息公开工作存在的主要问题及改进情况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仿宋_GB2312" w:hAnsi="宋体" w:eastAsia="仿宋_GB2312" w:cs="仿宋_GB2312"/>
          <w:i w:val="0"/>
          <w:iCs w:val="0"/>
          <w:caps w:val="0"/>
          <w:color w:val="333333"/>
          <w:spacing w:val="0"/>
          <w:kern w:val="2"/>
          <w:sz w:val="32"/>
          <w:szCs w:val="32"/>
          <w:shd w:val="clear" w:fill="FFFFFF"/>
          <w:lang w:val="en-US" w:eastAsia="zh-CN" w:bidi="ar-SA"/>
        </w:rPr>
      </w:pPr>
      <w:r>
        <w:rPr>
          <w:rFonts w:hint="eastAsia" w:ascii="仿宋_GB2312" w:hAnsi="宋体" w:eastAsia="仿宋_GB2312" w:cs="仿宋_GB2312"/>
          <w:i w:val="0"/>
          <w:iCs w:val="0"/>
          <w:caps w:val="0"/>
          <w:color w:val="333333"/>
          <w:spacing w:val="0"/>
          <w:kern w:val="2"/>
          <w:sz w:val="32"/>
          <w:szCs w:val="32"/>
          <w:shd w:val="clear" w:fill="FFFFFF"/>
          <w:lang w:val="en-US" w:eastAsia="zh-CN" w:bidi="ar-SA"/>
        </w:rPr>
        <w:t>2021年，我局政务信息公开工作取得了一定成效，但仍存在一些问题和不足，主要表现在：一是政策解读方式单一，以文字解读为主；二是信息更新速度较慢，有时更新不及时；三是信息公开内容较为单一，以发布工作动态为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仿宋_GB2312" w:hAnsi="宋体" w:eastAsia="仿宋_GB2312" w:cs="仿宋_GB2312"/>
          <w:i w:val="0"/>
          <w:iCs w:val="0"/>
          <w:caps w:val="0"/>
          <w:color w:val="333333"/>
          <w:spacing w:val="0"/>
          <w:kern w:val="2"/>
          <w:sz w:val="32"/>
          <w:szCs w:val="32"/>
          <w:shd w:val="clear" w:fill="FFFFFF"/>
          <w:lang w:val="en-US" w:eastAsia="zh-CN" w:bidi="ar-SA"/>
        </w:rPr>
      </w:pPr>
      <w:r>
        <w:rPr>
          <w:rFonts w:hint="eastAsia" w:ascii="仿宋_GB2312" w:hAnsi="宋体" w:eastAsia="仿宋_GB2312" w:cs="仿宋_GB2312"/>
          <w:i w:val="0"/>
          <w:iCs w:val="0"/>
          <w:caps w:val="0"/>
          <w:color w:val="333333"/>
          <w:spacing w:val="0"/>
          <w:kern w:val="2"/>
          <w:sz w:val="32"/>
          <w:szCs w:val="32"/>
          <w:shd w:val="clear" w:fill="FFFFFF"/>
          <w:lang w:val="en-US" w:eastAsia="zh-CN" w:bidi="ar-SA"/>
        </w:rPr>
        <w:t>2022年，我局将从以下几方面入手，扎实推进政府信息公开工作：一是强化学习教育。积极参加市信息中心组织的关于政务公开方面的培训，提高业务水平，丰富政策解读方式，多元化对政策文件进行解读。二是加快信息收集。加强单位内部之间的沟通协调，及时收集、审核、发布政务信息，增强信息公开的时效性。三是丰富信息内容。以社会需求为导向，将城市管理涉及到的法律法规、政策性文件、执法程序、服务审批事项、工作流程等面向社会全方位公开，提高办事、决策的透明度。</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六、其他需要报告的事项</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lang w:val="en-US" w:eastAsia="zh-CN"/>
        </w:rPr>
      </w:pPr>
      <w:r>
        <w:rPr>
          <w:rFonts w:hint="eastAsia" w:ascii="仿宋" w:hAnsi="仿宋" w:eastAsia="仿宋_GB2312" w:cs="仿宋"/>
          <w:lang w:val="en-US" w:eastAsia="zh-CN"/>
        </w:rPr>
        <w:t>2021年度，本机关无收取信息处理费情况。</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_GB2312" w:hAnsi="宋体" w:eastAsia="仿宋_GB2312" w:cs="仿宋_GB2312"/>
          <w:i w:val="0"/>
          <w:iCs w:val="0"/>
          <w:caps w:val="0"/>
          <w:color w:val="333333"/>
          <w:spacing w:val="0"/>
          <w:kern w:val="2"/>
          <w:sz w:val="32"/>
          <w:szCs w:val="32"/>
          <w:shd w:val="clear" w:fill="FFFFFF"/>
          <w:lang w:val="en-US" w:eastAsia="zh-CN" w:bidi="ar-SA"/>
        </w:rPr>
      </w:pP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_GB2312" w:hAnsi="宋体" w:eastAsia="仿宋_GB2312" w:cs="仿宋_GB2312"/>
          <w:i w:val="0"/>
          <w:iCs w:val="0"/>
          <w:caps w:val="0"/>
          <w:color w:val="333333"/>
          <w:spacing w:val="0"/>
          <w:kern w:val="2"/>
          <w:sz w:val="32"/>
          <w:szCs w:val="32"/>
          <w:shd w:val="clear" w:fill="FFFFFF"/>
          <w:lang w:val="en-US" w:eastAsia="zh-CN" w:bidi="ar-SA"/>
        </w:rPr>
      </w:pP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_GB2312" w:hAnsi="宋体" w:eastAsia="仿宋_GB2312" w:cs="仿宋_GB2312"/>
          <w:i w:val="0"/>
          <w:iCs w:val="0"/>
          <w:caps w:val="0"/>
          <w:color w:val="333333"/>
          <w:spacing w:val="0"/>
          <w:kern w:val="2"/>
          <w:sz w:val="32"/>
          <w:szCs w:val="32"/>
          <w:shd w:val="clear" w:fill="FFFFFF"/>
          <w:lang w:val="en-US" w:eastAsia="zh-CN" w:bidi="ar-SA"/>
        </w:rPr>
      </w:pP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_GB2312" w:hAnsi="宋体" w:eastAsia="仿宋_GB2312" w:cs="仿宋_GB2312"/>
          <w:i w:val="0"/>
          <w:iCs w:val="0"/>
          <w:caps w:val="0"/>
          <w:color w:val="333333"/>
          <w:spacing w:val="0"/>
          <w:kern w:val="2"/>
          <w:sz w:val="32"/>
          <w:szCs w:val="32"/>
          <w:shd w:val="clear" w:fill="FFFFFF"/>
          <w:lang w:val="en-US" w:eastAsia="zh-CN" w:bidi="ar-SA"/>
        </w:rPr>
      </w:pP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_GB2312" w:hAnsi="宋体" w:eastAsia="仿宋_GB2312" w:cs="仿宋_GB2312"/>
          <w:i w:val="0"/>
          <w:iCs w:val="0"/>
          <w:caps w:val="0"/>
          <w:color w:val="333333"/>
          <w:spacing w:val="0"/>
          <w:kern w:val="2"/>
          <w:sz w:val="32"/>
          <w:szCs w:val="32"/>
          <w:shd w:val="clear" w:fill="FFFFFF"/>
          <w:lang w:val="en-US" w:eastAsia="zh-CN" w:bidi="ar-SA"/>
        </w:rPr>
      </w:pP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_GB2312" w:hAnsi="宋体" w:eastAsia="仿宋_GB2312" w:cs="仿宋_GB2312"/>
          <w:i w:val="0"/>
          <w:iCs w:val="0"/>
          <w:caps w:val="0"/>
          <w:color w:val="333333"/>
          <w:spacing w:val="0"/>
          <w:kern w:val="2"/>
          <w:sz w:val="32"/>
          <w:szCs w:val="32"/>
          <w:shd w:val="clear" w:fill="FFFFFF"/>
          <w:lang w:val="en-US" w:eastAsia="zh-CN" w:bidi="ar-SA"/>
        </w:rPr>
      </w:pP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_GB2312" w:hAnsi="宋体" w:eastAsia="仿宋_GB2312" w:cs="仿宋_GB2312"/>
          <w:i w:val="0"/>
          <w:iCs w:val="0"/>
          <w:caps w:val="0"/>
          <w:color w:val="333333"/>
          <w:spacing w:val="0"/>
          <w:kern w:val="2"/>
          <w:sz w:val="32"/>
          <w:szCs w:val="32"/>
          <w:shd w:val="clear" w:fill="FFFFFF"/>
          <w:lang w:val="en-US" w:eastAsia="zh-CN" w:bidi="ar-SA"/>
        </w:rPr>
      </w:pPr>
    </w:p>
    <w:p>
      <w:pPr>
        <w:keepNext w:val="0"/>
        <w:keepLines w:val="0"/>
        <w:pageBreakBefore w:val="0"/>
        <w:widowControl w:val="0"/>
        <w:kinsoku/>
        <w:wordWrap/>
        <w:overflowPunct/>
        <w:topLinePunct w:val="0"/>
        <w:autoSpaceDE/>
        <w:autoSpaceDN/>
        <w:bidi w:val="0"/>
        <w:adjustRightInd/>
        <w:snapToGrid/>
        <w:ind w:firstLine="632" w:firstLineChars="200"/>
        <w:jc w:val="right"/>
        <w:textAlignment w:val="auto"/>
        <w:outlineLvl w:val="9"/>
        <w:rPr>
          <w:rFonts w:hint="default" w:ascii="仿宋_GB2312" w:hAnsi="宋体" w:eastAsia="仿宋_GB2312" w:cs="仿宋_GB2312"/>
          <w:i w:val="0"/>
          <w:iCs w:val="0"/>
          <w:caps w:val="0"/>
          <w:color w:val="333333"/>
          <w:spacing w:val="0"/>
          <w:kern w:val="2"/>
          <w:sz w:val="32"/>
          <w:szCs w:val="32"/>
          <w:shd w:val="clear" w:fill="FFFFFF"/>
          <w:lang w:val="en-US" w:eastAsia="zh-CN" w:bidi="ar-SA"/>
        </w:rPr>
      </w:pPr>
    </w:p>
    <w:sectPr>
      <w:footerReference r:id="rId3" w:type="default"/>
      <w:pgSz w:w="11906" w:h="16838"/>
      <w:pgMar w:top="1417" w:right="1417" w:bottom="1417" w:left="1417" w:header="907" w:footer="907"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1EF2940-70E2-4705-944D-8E098005B6E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B8CC7C09-EBB8-4927-8237-869E3D3A61B0}"/>
  </w:font>
  <w:font w:name="仿宋">
    <w:panose1 w:val="02010609060101010101"/>
    <w:charset w:val="86"/>
    <w:family w:val="modern"/>
    <w:pitch w:val="default"/>
    <w:sig w:usb0="800002BF" w:usb1="38CF7CFA" w:usb2="00000016" w:usb3="00000000" w:csb0="00040001" w:csb1="00000000"/>
    <w:embedRegular r:id="rId3" w:fontKey="{285D113C-ED5F-4C16-8313-D975E192B128}"/>
  </w:font>
  <w:font w:name="方正小标宋简体">
    <w:panose1 w:val="02000000000000000000"/>
    <w:charset w:val="86"/>
    <w:family w:val="auto"/>
    <w:pitch w:val="default"/>
    <w:sig w:usb0="00000001" w:usb1="080E0000" w:usb2="00000000" w:usb3="00000000" w:csb0="00040000" w:csb1="00000000"/>
    <w:embedRegular r:id="rId4" w:fontKey="{E2BDC991-92B3-4C47-8400-7BDB6FC4F064}"/>
  </w:font>
  <w:font w:name="仿宋_GB2312">
    <w:panose1 w:val="02010609030101010101"/>
    <w:charset w:val="86"/>
    <w:family w:val="auto"/>
    <w:pitch w:val="default"/>
    <w:sig w:usb0="00000001" w:usb1="080E0000" w:usb2="00000000" w:usb3="00000000" w:csb0="00040000" w:csb1="00000000"/>
    <w:embedRegular r:id="rId5" w:fontKey="{0FAFA56D-63B5-4083-8CD3-F8985872B868}"/>
  </w:font>
  <w:font w:name="楷体">
    <w:panose1 w:val="02010609060101010101"/>
    <w:charset w:val="86"/>
    <w:family w:val="auto"/>
    <w:pitch w:val="default"/>
    <w:sig w:usb0="800002BF" w:usb1="38CF7CFA" w:usb2="00000016" w:usb3="00000000" w:csb0="00040001" w:csb1="00000000"/>
    <w:embedRegular r:id="rId6" w:fontKey="{92FC54E2-F32A-4556-9654-943DB2E11F70}"/>
  </w:font>
  <w:font w:name="微软雅黑">
    <w:panose1 w:val="020B0503020204020204"/>
    <w:charset w:val="86"/>
    <w:family w:val="auto"/>
    <w:pitch w:val="default"/>
    <w:sig w:usb0="80000287" w:usb1="2ACF3C50" w:usb2="00000016" w:usb3="00000000" w:csb0="0004001F" w:csb1="00000000"/>
    <w:embedRegular r:id="rId7" w:fontKey="{0E759839-263E-4F8C-94E6-2D3C3E6E50D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宋体" w:hAnsi="宋体" w:eastAsia="宋体" w:cs="宋体"/>
        <w:sz w:val="28"/>
        <w:szCs w:val="28"/>
        <w:lang w:val="en-US" w:eastAsia="zh-CN"/>
      </w:rPr>
    </w:pPr>
    <w:r>
      <w:rPr>
        <w:rFonts w:hint="eastAsia" w:ascii="宋体" w:hAnsi="宋体" w:eastAsia="宋体" w:cs="宋体"/>
        <w:kern w:val="0"/>
        <w:sz w:val="28"/>
        <w:szCs w:val="28"/>
        <w:lang w:val="en-US" w:eastAsia="zh-CN"/>
      </w:rPr>
      <w:t>-</w:t>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zh-CN"/>
      </w:rPr>
      <w:fldChar w:fldCharType="begin"/>
    </w:r>
    <w:r>
      <w:rPr>
        <w:rFonts w:hint="eastAsia" w:ascii="宋体" w:hAnsi="宋体" w:eastAsia="宋体" w:cs="宋体"/>
        <w:kern w:val="0"/>
        <w:sz w:val="28"/>
        <w:szCs w:val="28"/>
        <w:lang w:val="zh-CN"/>
      </w:rPr>
      <w:instrText xml:space="preserve"> PAGE </w:instrText>
    </w:r>
    <w:r>
      <w:rPr>
        <w:rFonts w:hint="eastAsia" w:ascii="宋体" w:hAnsi="宋体" w:eastAsia="宋体" w:cs="宋体"/>
        <w:kern w:val="0"/>
        <w:sz w:val="28"/>
        <w:szCs w:val="28"/>
        <w:lang w:val="zh-CN"/>
      </w:rPr>
      <w:fldChar w:fldCharType="separate"/>
    </w:r>
    <w:r>
      <w:rPr>
        <w:rFonts w:hint="eastAsia" w:ascii="宋体" w:hAnsi="宋体" w:eastAsia="宋体" w:cs="宋体"/>
        <w:kern w:val="0"/>
        <w:sz w:val="28"/>
        <w:szCs w:val="28"/>
        <w:lang w:val="zh-CN"/>
      </w:rPr>
      <w:t>1</w:t>
    </w:r>
    <w:r>
      <w:rPr>
        <w:rFonts w:hint="eastAsia" w:ascii="宋体" w:hAnsi="宋体" w:eastAsia="宋体" w:cs="宋体"/>
        <w:kern w:val="0"/>
        <w:sz w:val="28"/>
        <w:szCs w:val="28"/>
        <w:lang w:val="zh-CN"/>
      </w:rPr>
      <w:fldChar w:fldCharType="end"/>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en-US" w:eastAsia="zh-CN"/>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attachedTemplate r:id="rId1"/>
  <w:documentProtection w:enforcement="0"/>
  <w:defaultTabStop w:val="420"/>
  <w:drawingGridHorizontalSpacing w:val="158"/>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hZTRiOGQ2ZTQ4YzIyMDA3YzA2OWRhMTgxOWNiOTUifQ=="/>
  </w:docVars>
  <w:rsids>
    <w:rsidRoot w:val="105A4352"/>
    <w:rsid w:val="01092E77"/>
    <w:rsid w:val="07F4584C"/>
    <w:rsid w:val="0BED0BAC"/>
    <w:rsid w:val="105A4352"/>
    <w:rsid w:val="10E341AD"/>
    <w:rsid w:val="176E55C2"/>
    <w:rsid w:val="1D7B6BAB"/>
    <w:rsid w:val="1DCA12DB"/>
    <w:rsid w:val="206207B8"/>
    <w:rsid w:val="254F7E52"/>
    <w:rsid w:val="2C27513E"/>
    <w:rsid w:val="30EF4251"/>
    <w:rsid w:val="35DA3A6E"/>
    <w:rsid w:val="379E0D41"/>
    <w:rsid w:val="37D50499"/>
    <w:rsid w:val="3A4D6E28"/>
    <w:rsid w:val="3C7A1497"/>
    <w:rsid w:val="415428DD"/>
    <w:rsid w:val="41605AC0"/>
    <w:rsid w:val="43FA0A98"/>
    <w:rsid w:val="45406477"/>
    <w:rsid w:val="4A6C6248"/>
    <w:rsid w:val="4CA45657"/>
    <w:rsid w:val="4FC301B1"/>
    <w:rsid w:val="51E42F70"/>
    <w:rsid w:val="51E91CB1"/>
    <w:rsid w:val="62CA38B1"/>
    <w:rsid w:val="63604736"/>
    <w:rsid w:val="6CD60491"/>
    <w:rsid w:val="6F784FEF"/>
    <w:rsid w:val="71C051BF"/>
    <w:rsid w:val="75D021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3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E:\&#12304;&#20449;&#24687;&#20844;&#24320;&#24180;&#24230;&#25253;&#21578;&#12305;\&#12304;&#27169;&#26495;&#12305;&#27167;&#26641;&#24066;XXXX2021&#24180;&#25919;&#24220;&#20449;&#24687;&#20844;&#24320;&#24037;&#20316;&#24180;&#24230;&#25253;&#21578;.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【模板】樟树市XXXX2021年政府信息公开工作年度报告.dotx</Template>
  <Pages>7</Pages>
  <Words>3302</Words>
  <Characters>3447</Characters>
  <Lines>0</Lines>
  <Paragraphs>0</Paragraphs>
  <TotalTime>0</TotalTime>
  <ScaleCrop>false</ScaleCrop>
  <LinksUpToDate>false</LinksUpToDate>
  <CharactersWithSpaces>3453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2021-12-23T00:52:00Z</dcterms:created>
  <dc:creator>Administrator</dc:creator>
  <cp:lastModifiedBy>聿颖</cp:lastModifiedBy>
  <dcterms:modified xsi:type="dcterms:W3CDTF">2024-03-22T03:12:10Z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8A3CA7B8CDCB442891642F8D1D902195</vt:lpwstr>
  </property>
</Properties>
</file>