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36"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樟树市农业农村局2021年政府信息公开工作</w:t>
      </w:r>
    </w:p>
    <w:p>
      <w:pPr>
        <w:keepNext w:val="0"/>
        <w:keepLines w:val="0"/>
        <w:pageBreakBefore w:val="0"/>
        <w:widowControl w:val="0"/>
        <w:kinsoku/>
        <w:wordWrap/>
        <w:overflowPunct/>
        <w:topLinePunct w:val="0"/>
        <w:autoSpaceDE/>
        <w:autoSpaceDN/>
        <w:bidi w:val="0"/>
        <w:adjustRightInd/>
        <w:snapToGrid/>
        <w:spacing w:line="636"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636"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仿宋" w:hAnsi="仿宋" w:eastAsia="仿宋_GB2312" w:cs="仿宋"/>
          <w:lang w:val="en-US" w:eastAsia="zh-CN"/>
        </w:rPr>
      </w:pPr>
      <w:bookmarkStart w:id="0" w:name="_GoBack"/>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农业农村局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农业农村局联系（地址：樟树市杏佛路附79号，电话：0795-7333561，邮编：331200）。</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2021年樟树市农业农村局坚持以习近平新时代中国特色社会主义思想为指导，深入贯彻党的十九大和十九届二中、三中、四中、五中、六中全会精神，严格落实《中华人民共和国政府信息公开条例》、《国务院办公厅印发〈关于全面推进政务公开工作的意见〉实施细则的通知》（国办发〔2016〕80号）和《国务院办公厅关于印发2020年政务公开工作要点的通知》（国办发〔2020〕17号）的要求，明确目标任务，紧紧围绕省委、省政府中心工作及社会群众关注关切，着力提升政府信息公开质量，推进拓宽政府信息公开渠道，不断增强政府信息公开实效。</w:t>
      </w:r>
    </w:p>
    <w:p>
      <w:pPr>
        <w:keepNext w:val="0"/>
        <w:keepLines w:val="0"/>
        <w:pageBreakBefore w:val="0"/>
        <w:widowControl w:val="0"/>
        <w:numPr>
          <w:ilvl w:val="0"/>
          <w:numId w:val="0"/>
        </w:numPr>
        <w:kinsoku/>
        <w:wordWrap/>
        <w:overflowPunct/>
        <w:topLinePunct w:val="0"/>
        <w:autoSpaceDE/>
        <w:autoSpaceDN/>
        <w:bidi w:val="0"/>
        <w:adjustRightInd/>
        <w:snapToGrid/>
        <w:spacing w:line="636"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default" w:ascii="楷体" w:hAnsi="楷体" w:eastAsia="楷体" w:cs="楷体"/>
          <w:b/>
          <w:bCs/>
          <w:lang w:val="en-US" w:eastAsia="zh-CN"/>
        </w:rPr>
      </w:pPr>
      <w:r>
        <w:rPr>
          <w:rFonts w:hint="eastAsia" w:ascii="仿宋" w:hAnsi="仿宋" w:eastAsia="仿宋_GB2312" w:cs="仿宋"/>
          <w:lang w:val="en-US" w:eastAsia="zh-CN"/>
        </w:rPr>
        <w:t>2021年，市农业农村局主动公开信息753条，其中决策公开6条、管理公开17条、结果公开19条、执行公开8条.</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2021年我局未收到依申请公开申请。</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1、规范化标准化建设。进一步明确我局政务公开内容和政务公开责任，坚持统筹兼顾、突出重点，大力推进决策、执行、管理、服务、结果公开，进一步提高政务公开标准化、规范化、法制化水平。</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2、数字化管理（加大数据公开力度）。积极强化数字化管理，加大数据公开力度，通过规范管理、综合运用，把数据管理与政府信息有机结合，从而使政府信息管理更加便捷。</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3、规范信息审核发布机制。严格按照市政府政务公开要求的格式、内容等规范信息发布和审核。</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仿宋" w:hAnsi="仿宋" w:eastAsia="仿宋" w:cs="仿宋"/>
          <w:i w:val="0"/>
          <w:iCs w:val="0"/>
          <w:caps w:val="0"/>
          <w:color w:val="333333"/>
          <w:spacing w:val="0"/>
          <w:sz w:val="31"/>
          <w:szCs w:val="31"/>
          <w:shd w:val="clear" w:fill="FFFFFF"/>
        </w:rPr>
      </w:pPr>
      <w:r>
        <w:rPr>
          <w:rFonts w:hint="eastAsia" w:ascii="仿宋" w:hAnsi="仿宋" w:eastAsia="仿宋_GB2312" w:cs="仿宋"/>
          <w:lang w:val="en-US" w:eastAsia="zh-CN"/>
        </w:rPr>
        <w:t>4、规范性文件清理。全面系统清理制发的规章和规范性文件，组织对文件数量、格式内容、修订废止等情况逐件确认、补充完善、会商研判。</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2021年度，我局政务信息公开平台板块及栏目设置，严格按照政府网站规范要求建设，确保应有公开栏目不漏项，努力做到应公开尽公开。我局暂无独立门户网站，重要信息和公示均发布在樟树市人民政府网站。</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高度重视政务公开第三方评估结果，举一反三检视存在的差距不足，逐项明确整改责任和整改措施，确保整改到位。通过多种方式和渠道广泛听取公民、法人和其他社会组织（以下简称公众）对政府信息公开工作的批评、意见和建议的活动。</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加强政府信息公开工作组织领导，做到主要领导亲自推进，分管领导负责把关，各科室配合落实，形成政府信息公开工作齐抓共管的良好局面。进一步建立健全督查工作机制，定期督查政府信息发布情况，督促做好政务公开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4"/>
        <w:tblW w:w="9040" w:type="dxa"/>
        <w:jc w:val="center"/>
        <w:shd w:val="clear" w:color="auto" w:fill="auto"/>
        <w:tblLayout w:type="fixed"/>
        <w:tblCellMar>
          <w:top w:w="0" w:type="dxa"/>
          <w:left w:w="0" w:type="dxa"/>
          <w:bottom w:w="0" w:type="dxa"/>
          <w:right w:w="0" w:type="dxa"/>
        </w:tblCellMar>
      </w:tblPr>
      <w:tblGrid>
        <w:gridCol w:w="1734"/>
        <w:gridCol w:w="2435"/>
        <w:gridCol w:w="2435"/>
        <w:gridCol w:w="2436"/>
      </w:tblGrid>
      <w:tr>
        <w:tblPrEx>
          <w:shd w:val="clear" w:color="auto" w:fill="auto"/>
          <w:tblCellMar>
            <w:top w:w="0" w:type="dxa"/>
            <w:left w:w="0" w:type="dxa"/>
            <w:bottom w:w="0" w:type="dxa"/>
            <w:right w:w="0" w:type="dxa"/>
          </w:tblCellMar>
        </w:tblPrEx>
        <w:trPr>
          <w:trHeight w:val="827" w:hRule="atLeast"/>
          <w:jc w:val="center"/>
        </w:trPr>
        <w:tc>
          <w:tcPr>
            <w:tcW w:w="90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827"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827"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outlineLvl w:val="9"/>
              <w:rPr>
                <w:rFonts w:hint="default"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outlineLvl w:val="9"/>
              <w:rPr>
                <w:rFonts w:hint="eastAsia" w:eastAsia="仿宋"/>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827"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outlineLvl w:val="9"/>
              <w:rPr>
                <w:rFonts w:hint="eastAsia" w:eastAsia="仿宋"/>
                <w:lang w:val="en-US" w:eastAsia="zh-CN"/>
              </w:rPr>
            </w:pPr>
            <w:r>
              <w:rPr>
                <w:rFonts w:hint="eastAsia"/>
                <w:lang w:val="en-US" w:eastAsia="zh-CN"/>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outlineLvl w:val="9"/>
              <w:rPr>
                <w:rFonts w:hint="eastAsia" w:eastAsia="仿宋"/>
                <w:lang w:val="en-US" w:eastAsia="zh-CN"/>
              </w:rPr>
            </w:pPr>
            <w:r>
              <w:rPr>
                <w:rFonts w:hint="eastAsia"/>
                <w:lang w:val="en-US" w:eastAsia="zh-CN"/>
              </w:rPr>
              <w:t>3</w:t>
            </w:r>
          </w:p>
        </w:tc>
        <w:tc>
          <w:tcPr>
            <w:tcW w:w="24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outlineLvl w:val="9"/>
              <w:rPr>
                <w:rFonts w:hint="eastAsia" w:eastAsia="仿宋"/>
                <w:lang w:val="en-US" w:eastAsia="zh-CN"/>
              </w:rPr>
            </w:pPr>
            <w:r>
              <w:rPr>
                <w:rFonts w:hint="eastAsia"/>
                <w:lang w:val="en-US" w:eastAsia="zh-CN"/>
              </w:rPr>
              <w:t>6</w:t>
            </w:r>
          </w:p>
        </w:tc>
      </w:tr>
      <w:tr>
        <w:tblPrEx>
          <w:shd w:val="clear" w:color="auto" w:fill="auto"/>
          <w:tblCellMar>
            <w:top w:w="0" w:type="dxa"/>
            <w:left w:w="0" w:type="dxa"/>
            <w:bottom w:w="0" w:type="dxa"/>
            <w:right w:w="0" w:type="dxa"/>
          </w:tblCellMar>
        </w:tblPrEx>
        <w:trPr>
          <w:trHeight w:val="827" w:hRule="atLeast"/>
          <w:jc w:val="center"/>
        </w:trPr>
        <w:tc>
          <w:tcPr>
            <w:tcW w:w="90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827"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6"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827"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6"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outlineLvl w:val="9"/>
            </w:pPr>
            <w:r>
              <w:rPr>
                <w:rFonts w:hint="eastAsia"/>
                <w:lang w:val="en-US" w:eastAsia="zh-CN"/>
              </w:rPr>
              <w:t>480</w:t>
            </w:r>
            <w:r>
              <w:rPr>
                <w:rFonts w:hint="default"/>
                <w:lang w:val="en-US" w:eastAsia="zh-CN"/>
              </w:rPr>
              <w:t> </w:t>
            </w:r>
          </w:p>
        </w:tc>
      </w:tr>
      <w:tr>
        <w:tblPrEx>
          <w:shd w:val="clear" w:color="auto" w:fill="auto"/>
          <w:tblCellMar>
            <w:top w:w="0" w:type="dxa"/>
            <w:left w:w="0" w:type="dxa"/>
            <w:bottom w:w="0" w:type="dxa"/>
            <w:right w:w="0" w:type="dxa"/>
          </w:tblCellMar>
        </w:tblPrEx>
        <w:trPr>
          <w:trHeight w:val="827" w:hRule="atLeast"/>
          <w:jc w:val="center"/>
        </w:trPr>
        <w:tc>
          <w:tcPr>
            <w:tcW w:w="90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827"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6"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827"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6"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outlineLvl w:val="9"/>
              <w:rPr>
                <w:rFonts w:hint="default"/>
                <w:lang w:val="en-US"/>
              </w:rPr>
            </w:pPr>
            <w:r>
              <w:rPr>
                <w:rFonts w:hint="eastAsia"/>
                <w:lang w:val="en-US" w:eastAsia="zh-CN"/>
              </w:rPr>
              <w:t>15</w:t>
            </w:r>
          </w:p>
        </w:tc>
      </w:tr>
      <w:tr>
        <w:tblPrEx>
          <w:tblCellMar>
            <w:top w:w="0" w:type="dxa"/>
            <w:left w:w="0" w:type="dxa"/>
            <w:bottom w:w="0" w:type="dxa"/>
            <w:right w:w="0" w:type="dxa"/>
          </w:tblCellMar>
        </w:tblPrEx>
        <w:trPr>
          <w:trHeight w:val="827"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6"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outlineLvl w:val="9"/>
              <w:rPr>
                <w:rFonts w:hint="default"/>
                <w:lang w:val="en-US"/>
              </w:rPr>
            </w:pPr>
            <w:r>
              <w:rPr>
                <w:rFonts w:hint="eastAsia"/>
                <w:lang w:val="en-US" w:eastAsia="zh-CN"/>
              </w:rPr>
              <w:t>2</w:t>
            </w:r>
          </w:p>
        </w:tc>
      </w:tr>
      <w:tr>
        <w:tblPrEx>
          <w:tblCellMar>
            <w:top w:w="0" w:type="dxa"/>
            <w:left w:w="0" w:type="dxa"/>
            <w:bottom w:w="0" w:type="dxa"/>
            <w:right w:w="0" w:type="dxa"/>
          </w:tblCellMar>
        </w:tblPrEx>
        <w:trPr>
          <w:trHeight w:val="827" w:hRule="atLeast"/>
          <w:jc w:val="center"/>
        </w:trPr>
        <w:tc>
          <w:tcPr>
            <w:tcW w:w="90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827"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6"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878"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6"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4"/>
        <w:tblW w:w="907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9"/>
        <w:gridCol w:w="836"/>
        <w:gridCol w:w="2591"/>
        <w:gridCol w:w="689"/>
        <w:gridCol w:w="689"/>
        <w:gridCol w:w="689"/>
        <w:gridCol w:w="689"/>
        <w:gridCol w:w="689"/>
        <w:gridCol w:w="695"/>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424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3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424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68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51"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0" w:hRule="atLeast"/>
          <w:jc w:val="center"/>
        </w:trPr>
        <w:tc>
          <w:tcPr>
            <w:tcW w:w="424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42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42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2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27" w:type="dxa"/>
            <w:gridSpan w:val="2"/>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9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single" w:color="auto" w:sz="4" w:space="0"/>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6"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19" w:type="dxa"/>
            <w:vMerge w:val="continue"/>
            <w:tcBorders>
              <w:top w:val="nil"/>
              <w:left w:val="single" w:color="auto" w:sz="8" w:space="0"/>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27" w:type="dxa"/>
            <w:gridSpan w:val="2"/>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246"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9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numPr>
          <w:ilvl w:val="0"/>
          <w:numId w:val="1"/>
        </w:numPr>
        <w:kinsoku/>
        <w:wordWrap/>
        <w:overflowPunct/>
        <w:topLinePunct w:val="0"/>
        <w:autoSpaceDE/>
        <w:autoSpaceDN/>
        <w:bidi w:val="0"/>
        <w:adjustRightInd/>
        <w:snapToGrid/>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636"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2021年，樟树市农业农村局积极开展政府信息公开工作，但还存在一些问题，一是缺乏专职专岗人员。政府信息公开工作由办公室工作人员兼任，由于身兼数职，一定程度影响了政府信息公开工作任务完成质量，专业水平和业务能力有待进一步提升。二是股室间配合度不够，沟通需要进一步加强。三是政策解读形式过于单一，没有通过视频、图解、动画等形式解读。2022年，我局将针对政府信息公开工作存在的主要问题做好以下工作：一是积极参加上级组织的培训，提升专业水平和业务能力；二是进一步建立健全内部信息沟通协调机制，加强与各股室的联系与沟通，及时收集相关信息；三是提升政策解读质量，采用视频、图解、动画等多元化的解读方式，准确、形象、生动的对政策文件进行解读。</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32"/>
        <w:jc w:val="both"/>
        <w:rPr>
          <w:rFonts w:ascii="微软雅黑" w:hAnsi="微软雅黑" w:eastAsia="微软雅黑" w:cs="微软雅黑"/>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202</w:t>
      </w:r>
      <w:r>
        <w:rPr>
          <w:rFonts w:hint="eastAsia" w:ascii="仿宋" w:hAnsi="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年度，本机关无收取信息处理费情况。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p>
    <w:bookmarkEnd w:id="0"/>
    <w:sectPr>
      <w:footerReference r:id="rId3" w:type="default"/>
      <w:pgSz w:w="11906" w:h="16838"/>
      <w:pgMar w:top="1984" w:right="1474" w:bottom="1984" w:left="158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38547"/>
    <w:multiLevelType w:val="singleLevel"/>
    <w:tmpl w:val="9B23854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MDJmYjdhMjM5YzhiYzhhYTQxNDgwMjI0YWEzMmIifQ=="/>
  </w:docVars>
  <w:rsids>
    <w:rsidRoot w:val="19947D64"/>
    <w:rsid w:val="07F00BA2"/>
    <w:rsid w:val="116D68A7"/>
    <w:rsid w:val="13C432AD"/>
    <w:rsid w:val="19947D64"/>
    <w:rsid w:val="1A9A14C6"/>
    <w:rsid w:val="24435B21"/>
    <w:rsid w:val="3AFC1CAA"/>
    <w:rsid w:val="4346718C"/>
    <w:rsid w:val="5161709B"/>
    <w:rsid w:val="58E11604"/>
    <w:rsid w:val="621856EA"/>
    <w:rsid w:val="6A8C7FD6"/>
    <w:rsid w:val="6D41645F"/>
    <w:rsid w:val="78CD0EAA"/>
    <w:rsid w:val="7C232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rPr>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2560</Words>
  <Characters>2674</Characters>
  <Lines>0</Lines>
  <Paragraphs>0</Paragraphs>
  <TotalTime>5</TotalTime>
  <ScaleCrop>false</ScaleCrop>
  <LinksUpToDate>false</LinksUpToDate>
  <CharactersWithSpaces>2675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2022-01-12T07:40:00Z</dcterms:created>
  <dc:creator>Administrator</dc:creator>
  <cp:lastModifiedBy>Administrator</cp:lastModifiedBy>
  <cp:lastPrinted>2022-01-13T02:39:00Z</cp:lastPrinted>
  <dcterms:modified xsi:type="dcterms:W3CDTF">2023-01-20T02:28:07Z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0BFEBF4B93634283952989960969770D</vt:lpwstr>
  </property>
</Properties>
</file>