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w:t>
      </w:r>
      <w:r>
        <w:rPr>
          <w:rFonts w:hint="eastAsia" w:ascii="方正小标宋简体" w:hAnsi="方正小标宋简体" w:eastAsia="方正小标宋简体" w:cs="方正小标宋简体"/>
          <w:sz w:val="44"/>
          <w:szCs w:val="44"/>
          <w:lang w:val="en-US" w:eastAsia="zh-CN"/>
        </w:rPr>
        <w:t>医疗保障局</w:t>
      </w:r>
      <w:r>
        <w:rPr>
          <w:rFonts w:hint="eastAsia" w:ascii="方正小标宋简体" w:hAnsi="方正小标宋简体" w:eastAsia="方正小标宋简体" w:cs="方正小标宋简体"/>
          <w:sz w:val="44"/>
          <w:szCs w:val="44"/>
          <w:lang w:val="en-US" w:eastAsia="zh-CN"/>
        </w:rPr>
        <w:t>2023年政府信息公开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29"/>
        <w:jc w:val="left"/>
        <w:textAlignment w:val="auto"/>
        <w:rPr>
          <w:rFonts w:hint="eastAsia"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本报告依据《中华人民共和国政府信息公开条例》（国务院令第711号，以下简称新《条例》）和《国务院办公厅政府信息与政务公开办公室关于政府信息公开工作年度报告有关事项的通知》（国办公开办函〔2019〕60号）要求，由樟树市医疗保障局结合樟树市人民政府网站、樟树市政府信息公开平台等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共六部分组成。本年度报告的电子版可以从樟树市人民政府网站（http://www.zhangshu.gov.cn）下载。如对本报告有任何疑问，请与樟树市医疗保障局联系（地址：樟树市药都南大道60号，电话：0795-7777991，邮编：331200）。</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color w:val="auto"/>
          <w:lang w:val="en-US" w:eastAsia="zh-CN"/>
        </w:rPr>
      </w:pPr>
      <w:r>
        <w:rPr>
          <w:rFonts w:hint="eastAsia" w:ascii="黑体" w:hAnsi="黑体" w:eastAsia="黑体" w:cs="黑体"/>
          <w:color w:val="auto"/>
          <w:lang w:val="en-US" w:eastAsia="zh-CN"/>
        </w:rPr>
        <w:t>一、总体情况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29"/>
        <w:jc w:val="left"/>
        <w:textAlignment w:val="auto"/>
        <w:rPr>
          <w:rFonts w:hint="eastAsia"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2023年，樟树市医疗保障局坚持以习近平新时代中国特色社会主义思想为指导，深入贯彻落实国务院和省、市关于推进政务公开工作有关要求，依据《中华人民共和国政府信息公开条例》，坚持以公开为常态，持续推进医保相关政府信息公开，做好信息公开常态化、强化政策解读、提高信息管理水平，推动政府信息公开提质增效，推进医保事业高质量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32" w:firstLineChars="200"/>
        <w:jc w:val="left"/>
        <w:textAlignment w:val="auto"/>
        <w:rPr>
          <w:rFonts w:hint="eastAsia" w:ascii="微软雅黑" w:hAnsi="微软雅黑" w:eastAsia="微软雅黑" w:cs="微软雅黑"/>
          <w:i w:val="0"/>
          <w:iCs w:val="0"/>
          <w:caps w:val="0"/>
          <w:color w:val="auto"/>
          <w:spacing w:val="0"/>
          <w:sz w:val="26"/>
          <w:szCs w:val="26"/>
        </w:rPr>
      </w:pPr>
      <w:r>
        <w:rPr>
          <w:rFonts w:hint="eastAsia" w:ascii="楷体" w:hAnsi="楷体" w:eastAsia="楷体" w:cs="楷体"/>
          <w:b/>
          <w:bCs/>
          <w:i w:val="0"/>
          <w:iCs w:val="0"/>
          <w:caps w:val="0"/>
          <w:color w:val="auto"/>
          <w:spacing w:val="0"/>
          <w:kern w:val="0"/>
          <w:sz w:val="32"/>
          <w:szCs w:val="32"/>
          <w:bdr w:val="none" w:color="auto" w:sz="0" w:space="0"/>
          <w:shd w:val="clear" w:fill="FFFFFF"/>
          <w:lang w:val="en-US" w:eastAsia="zh-CN" w:bidi="ar"/>
        </w:rPr>
        <w:t>（</w:t>
      </w:r>
      <w:r>
        <w:rPr>
          <w:rFonts w:ascii="楷体" w:hAnsi="楷体" w:eastAsia="楷体" w:cs="楷体"/>
          <w:b/>
          <w:bCs/>
          <w:i w:val="0"/>
          <w:iCs w:val="0"/>
          <w:caps w:val="0"/>
          <w:color w:val="auto"/>
          <w:spacing w:val="0"/>
          <w:kern w:val="0"/>
          <w:sz w:val="32"/>
          <w:szCs w:val="32"/>
          <w:bdr w:val="none" w:color="auto" w:sz="0" w:space="0"/>
          <w:shd w:val="clear" w:fill="FFFFFF"/>
          <w:lang w:val="en-US" w:eastAsia="zh-CN" w:bidi="ar"/>
        </w:rPr>
        <w:t>一</w:t>
      </w:r>
      <w:r>
        <w:rPr>
          <w:rFonts w:hint="eastAsia" w:ascii="楷体" w:hAnsi="楷体" w:eastAsia="楷体" w:cs="楷体"/>
          <w:b/>
          <w:bCs/>
          <w:i w:val="0"/>
          <w:iCs w:val="0"/>
          <w:caps w:val="0"/>
          <w:color w:val="auto"/>
          <w:spacing w:val="0"/>
          <w:kern w:val="0"/>
          <w:sz w:val="32"/>
          <w:szCs w:val="32"/>
          <w:bdr w:val="none" w:color="auto" w:sz="0" w:space="0"/>
          <w:shd w:val="clear" w:fill="FFFFFF"/>
          <w:lang w:val="en-US" w:eastAsia="zh-CN" w:bidi="ar"/>
        </w:rPr>
        <w:t>）</w:t>
      </w:r>
      <w:r>
        <w:rPr>
          <w:rFonts w:ascii="楷体" w:hAnsi="楷体" w:eastAsia="楷体" w:cs="楷体"/>
          <w:b/>
          <w:bCs/>
          <w:i w:val="0"/>
          <w:iCs w:val="0"/>
          <w:caps w:val="0"/>
          <w:color w:val="auto"/>
          <w:spacing w:val="0"/>
          <w:kern w:val="0"/>
          <w:sz w:val="32"/>
          <w:szCs w:val="32"/>
          <w:bdr w:val="none" w:color="auto" w:sz="0" w:space="0"/>
          <w:shd w:val="clear" w:fill="FFFFFF"/>
          <w:lang w:val="en-US" w:eastAsia="zh-CN" w:bidi="ar"/>
        </w:rPr>
        <w:t>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2023年，</w:t>
      </w:r>
      <w:r>
        <w:rPr>
          <w:rFonts w:hint="eastAsia" w:ascii="仿宋" w:hAnsi="仿宋" w:eastAsia="仿宋_GB2312" w:cs="仿宋"/>
          <w:highlight w:val="none"/>
          <w:lang w:val="en-US" w:eastAsia="zh-CN"/>
        </w:rPr>
        <w:t>我局主动公开信息77条，其中决策公开11条、执行公开53条、管理公开6条、结果公开3条、重点领域信息公开4条。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32" w:firstLineChars="200"/>
        <w:jc w:val="left"/>
        <w:textAlignment w:val="auto"/>
        <w:rPr>
          <w:rFonts w:hint="eastAsia" w:ascii="微软雅黑" w:hAnsi="微软雅黑" w:eastAsia="微软雅黑" w:cs="微软雅黑"/>
          <w:i w:val="0"/>
          <w:iCs w:val="0"/>
          <w:caps w:val="0"/>
          <w:color w:val="auto"/>
          <w:spacing w:val="0"/>
          <w:sz w:val="26"/>
          <w:szCs w:val="26"/>
        </w:rPr>
      </w:pPr>
      <w:r>
        <w:rPr>
          <w:rFonts w:hint="eastAsia" w:ascii="楷体" w:hAnsi="楷体" w:eastAsia="楷体" w:cs="楷体"/>
          <w:b/>
          <w:bCs/>
          <w:i w:val="0"/>
          <w:iCs w:val="0"/>
          <w:caps w:val="0"/>
          <w:color w:val="auto"/>
          <w:spacing w:val="0"/>
          <w:kern w:val="0"/>
          <w:sz w:val="32"/>
          <w:szCs w:val="32"/>
          <w:bdr w:val="none" w:color="auto" w:sz="0" w:space="0"/>
          <w:shd w:val="clear" w:fill="FFFFFF"/>
          <w:lang w:val="en-US" w:eastAsia="zh-CN" w:bidi="ar"/>
        </w:rPr>
        <w:t>（二）依申请公开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29"/>
        <w:jc w:val="left"/>
        <w:textAlignment w:val="auto"/>
        <w:rPr>
          <w:rFonts w:hint="eastAsia"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2023年全年未收到依申请公开件。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32" w:firstLineChars="200"/>
        <w:jc w:val="left"/>
        <w:textAlignment w:val="auto"/>
        <w:rPr>
          <w:rFonts w:hint="eastAsia" w:ascii="微软雅黑" w:hAnsi="微软雅黑" w:eastAsia="微软雅黑" w:cs="微软雅黑"/>
          <w:i w:val="0"/>
          <w:iCs w:val="0"/>
          <w:caps w:val="0"/>
          <w:color w:val="auto"/>
          <w:spacing w:val="0"/>
          <w:sz w:val="26"/>
          <w:szCs w:val="26"/>
        </w:rPr>
      </w:pPr>
      <w:r>
        <w:rPr>
          <w:rFonts w:hint="eastAsia" w:ascii="楷体" w:hAnsi="楷体" w:eastAsia="楷体" w:cs="楷体"/>
          <w:b/>
          <w:bCs/>
          <w:i w:val="0"/>
          <w:iCs w:val="0"/>
          <w:caps w:val="0"/>
          <w:color w:val="auto"/>
          <w:spacing w:val="0"/>
          <w:kern w:val="0"/>
          <w:sz w:val="32"/>
          <w:szCs w:val="32"/>
          <w:bdr w:val="none" w:color="auto" w:sz="0" w:space="0"/>
          <w:shd w:val="clear" w:fill="FFFFFF"/>
          <w:lang w:val="en-US" w:eastAsia="zh-CN" w:bidi="ar"/>
        </w:rPr>
        <w:t>（三）政府信息管理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29"/>
        <w:jc w:val="left"/>
        <w:textAlignment w:val="auto"/>
        <w:rPr>
          <w:rFonts w:hint="eastAsia"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依据《中华人民共和国政府信息公开条例》及省、市、县相关文件精神，及时修改、完善我局信息公开工作相关规章制度，建立健全政府信息公开属性源头认定机制、保密审查制度、“三审三校”制度，先审后发，切实把好政治关、法律关、政策关、保密关、文字关。精准把握“主动公开”“依申请公开”“不予公开”属性特征，进一步提升信息发布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32" w:firstLineChars="200"/>
        <w:jc w:val="left"/>
        <w:textAlignment w:val="auto"/>
        <w:rPr>
          <w:rFonts w:hint="eastAsia" w:ascii="微软雅黑" w:hAnsi="微软雅黑" w:eastAsia="微软雅黑" w:cs="微软雅黑"/>
          <w:i w:val="0"/>
          <w:iCs w:val="0"/>
          <w:caps w:val="0"/>
          <w:color w:val="auto"/>
          <w:spacing w:val="0"/>
          <w:sz w:val="26"/>
          <w:szCs w:val="26"/>
        </w:rPr>
      </w:pPr>
      <w:r>
        <w:rPr>
          <w:rFonts w:hint="eastAsia" w:ascii="楷体" w:hAnsi="楷体" w:eastAsia="楷体" w:cs="楷体"/>
          <w:b/>
          <w:bCs/>
          <w:i w:val="0"/>
          <w:iCs w:val="0"/>
          <w:caps w:val="0"/>
          <w:color w:val="auto"/>
          <w:spacing w:val="0"/>
          <w:kern w:val="0"/>
          <w:sz w:val="32"/>
          <w:szCs w:val="32"/>
          <w:bdr w:val="none" w:color="auto" w:sz="0" w:space="0"/>
          <w:shd w:val="clear" w:fill="FFFFFF"/>
          <w:lang w:val="en-US" w:eastAsia="zh-CN" w:bidi="ar"/>
        </w:rPr>
        <w:t>（四）政府信息公开平台建设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29"/>
        <w:jc w:val="left"/>
        <w:textAlignment w:val="auto"/>
        <w:rPr>
          <w:rFonts w:hint="eastAsia"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持续加强政府信息公开平台建设管理，做好法定主动公开内容专栏的日常检查、维护和更新工作；定期对各栏目信息开展自查，重点对栏目更新是否超期、发布内容是否存在严重表述错误等情况进行自查自纠，确保平台运行安全和政府信息的权威性和准确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32" w:firstLineChars="200"/>
        <w:jc w:val="left"/>
        <w:textAlignment w:val="auto"/>
        <w:rPr>
          <w:rFonts w:hint="eastAsia" w:ascii="微软雅黑" w:hAnsi="微软雅黑" w:eastAsia="微软雅黑" w:cs="微软雅黑"/>
          <w:i w:val="0"/>
          <w:iCs w:val="0"/>
          <w:caps w:val="0"/>
          <w:color w:val="auto"/>
          <w:spacing w:val="0"/>
          <w:sz w:val="26"/>
          <w:szCs w:val="26"/>
        </w:rPr>
      </w:pPr>
      <w:r>
        <w:rPr>
          <w:rFonts w:hint="eastAsia" w:ascii="楷体" w:hAnsi="楷体" w:eastAsia="楷体" w:cs="楷体"/>
          <w:b/>
          <w:bCs/>
          <w:i w:val="0"/>
          <w:iCs w:val="0"/>
          <w:caps w:val="0"/>
          <w:color w:val="auto"/>
          <w:spacing w:val="0"/>
          <w:kern w:val="0"/>
          <w:sz w:val="32"/>
          <w:szCs w:val="32"/>
          <w:bdr w:val="none" w:color="auto" w:sz="0" w:space="0"/>
          <w:shd w:val="clear" w:fill="FFFFFF"/>
          <w:lang w:val="en-US" w:eastAsia="zh-CN" w:bidi="ar"/>
        </w:rPr>
        <w:t>（五）监督保障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32" w:firstLineChars="200"/>
        <w:jc w:val="both"/>
        <w:textAlignment w:val="auto"/>
        <w:rPr>
          <w:rFonts w:hint="eastAsia" w:ascii="仿宋_GB2312" w:hAnsi="仿宋" w:eastAsia="仿宋_GB2312" w:cs="仿宋_GB2312"/>
          <w:i w:val="0"/>
          <w:iCs w:val="0"/>
          <w:caps w:val="0"/>
          <w:color w:val="auto"/>
          <w:spacing w:val="0"/>
          <w:kern w:val="0"/>
          <w:sz w:val="32"/>
          <w:szCs w:val="32"/>
          <w:shd w:val="clear" w:fill="FFFFFF"/>
          <w:lang w:val="en-US" w:eastAsia="zh-CN" w:bidi="ar"/>
        </w:rPr>
      </w:pPr>
      <w:r>
        <w:rPr>
          <w:rFonts w:ascii="仿宋" w:hAnsi="仿宋" w:eastAsia="仿宋" w:cs="仿宋"/>
          <w:b/>
          <w:bCs/>
          <w:i w:val="0"/>
          <w:iCs w:val="0"/>
          <w:caps w:val="0"/>
          <w:color w:val="auto"/>
          <w:spacing w:val="0"/>
          <w:kern w:val="0"/>
          <w:sz w:val="32"/>
          <w:szCs w:val="32"/>
          <w:bdr w:val="none" w:color="auto" w:sz="0" w:space="0"/>
          <w:shd w:val="clear" w:fill="FFFFFF"/>
          <w:lang w:val="en-US" w:eastAsia="zh-CN" w:bidi="ar"/>
        </w:rPr>
        <w:t>1.</w:t>
      </w:r>
      <w:r>
        <w:rPr>
          <w:rFonts w:ascii="仿宋_GB2312" w:hAnsi="仿宋" w:eastAsia="仿宋_GB2312" w:cs="仿宋_GB2312"/>
          <w:b/>
          <w:bCs/>
          <w:i w:val="0"/>
          <w:iCs w:val="0"/>
          <w:caps w:val="0"/>
          <w:color w:val="auto"/>
          <w:spacing w:val="0"/>
          <w:kern w:val="0"/>
          <w:sz w:val="32"/>
          <w:szCs w:val="32"/>
          <w:bdr w:val="none" w:color="auto" w:sz="0" w:space="0"/>
          <w:shd w:val="clear" w:fill="FFFFFF"/>
          <w:lang w:val="en-US" w:eastAsia="zh-CN" w:bidi="ar"/>
        </w:rPr>
        <w:t>工作考核</w:t>
      </w:r>
      <w:r>
        <w:rPr>
          <w:rFonts w:hint="eastAsia" w:ascii="仿宋_GB2312" w:hAnsi="微软雅黑" w:eastAsia="仿宋_GB2312" w:cs="仿宋_GB2312"/>
          <w:b/>
          <w:bCs/>
          <w:i w:val="0"/>
          <w:iCs w:val="0"/>
          <w:caps w:val="0"/>
          <w:color w:val="auto"/>
          <w:spacing w:val="0"/>
          <w:kern w:val="0"/>
          <w:sz w:val="32"/>
          <w:szCs w:val="32"/>
          <w:bdr w:val="none" w:color="auto" w:sz="0" w:space="0"/>
          <w:shd w:val="clear" w:fill="FFFFFF"/>
          <w:lang w:val="en-US" w:eastAsia="zh-CN" w:bidi="ar"/>
        </w:rPr>
        <w:t>。</w:t>
      </w:r>
      <w:r>
        <w:rPr>
          <w:rFonts w:hint="eastAsia" w:ascii="仿宋_GB2312" w:hAnsi="仿宋" w:eastAsia="仿宋_GB2312" w:cs="仿宋_GB2312"/>
          <w:i w:val="0"/>
          <w:iCs w:val="0"/>
          <w:caps w:val="0"/>
          <w:color w:val="auto"/>
          <w:spacing w:val="0"/>
          <w:kern w:val="0"/>
          <w:sz w:val="32"/>
          <w:szCs w:val="32"/>
          <w:shd w:val="clear" w:fill="FFFFFF"/>
          <w:lang w:val="en-US" w:eastAsia="zh-CN" w:bidi="ar"/>
        </w:rPr>
        <w:t>明确政府信息公开工作的指导思想、工作原则、目标任务、工作重点和工作要求等内容，建立和完善相应的工作制度，加强监督检查。对全年政府信息公开工作情况进行定期和随机地检查，有特殊情况随时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32"/>
        <w:jc w:val="both"/>
        <w:textAlignment w:val="auto"/>
        <w:rPr>
          <w:rFonts w:hint="eastAsia"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bdr w:val="none" w:color="auto" w:sz="0" w:space="0"/>
          <w:shd w:val="clear" w:fill="FFFFFF"/>
          <w:lang w:val="en-US" w:eastAsia="zh-CN" w:bidi="ar"/>
        </w:rPr>
        <w:t>2.</w:t>
      </w:r>
      <w:r>
        <w:rPr>
          <w:rFonts w:hint="eastAsia" w:ascii="仿宋_GB2312" w:hAnsi="仿宋" w:eastAsia="仿宋_GB2312" w:cs="仿宋_GB2312"/>
          <w:b/>
          <w:bCs/>
          <w:i w:val="0"/>
          <w:iCs w:val="0"/>
          <w:caps w:val="0"/>
          <w:color w:val="auto"/>
          <w:spacing w:val="0"/>
          <w:kern w:val="0"/>
          <w:sz w:val="32"/>
          <w:szCs w:val="32"/>
          <w:bdr w:val="none" w:color="auto" w:sz="0" w:space="0"/>
          <w:shd w:val="clear" w:fill="FFFFFF"/>
          <w:lang w:val="en-US" w:eastAsia="zh-CN" w:bidi="ar"/>
        </w:rPr>
        <w:t>社会评议和责任追究</w:t>
      </w:r>
      <w:r>
        <w:rPr>
          <w:rFonts w:hint="eastAsia" w:ascii="仿宋_GB2312" w:hAnsi="微软雅黑" w:eastAsia="仿宋_GB2312" w:cs="仿宋_GB2312"/>
          <w:b/>
          <w:bCs/>
          <w:i w:val="0"/>
          <w:iCs w:val="0"/>
          <w:caps w:val="0"/>
          <w:color w:val="auto"/>
          <w:spacing w:val="0"/>
          <w:kern w:val="0"/>
          <w:sz w:val="32"/>
          <w:szCs w:val="32"/>
          <w:bdr w:val="none" w:color="auto" w:sz="0" w:space="0"/>
          <w:shd w:val="clear" w:fill="FFFFFF"/>
          <w:lang w:val="en-US" w:eastAsia="zh-CN" w:bidi="ar"/>
        </w:rPr>
        <w:t>。</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加强对政府信息公开工作的检查，查看公开的内容是否符合有关规定，是否全面、真实、准确；公开的方式、渠道和设施是否便捷有效，是否方便公众获取；公开的配套工作制度是否规范健全、落实到位；对填报不规范的栏目，及时督促专人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32"/>
        <w:jc w:val="left"/>
        <w:textAlignment w:val="auto"/>
        <w:rPr>
          <w:rFonts w:hint="eastAsia" w:ascii="仿宋_GB2312" w:hAnsi="仿宋" w:eastAsia="仿宋_GB2312" w:cs="仿宋_GB2312"/>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bdr w:val="none" w:color="auto" w:sz="0" w:space="0"/>
          <w:shd w:val="clear" w:fill="FFFFFF"/>
          <w:lang w:val="en-US" w:eastAsia="zh-CN" w:bidi="ar"/>
        </w:rPr>
        <w:t>3.</w:t>
      </w:r>
      <w:r>
        <w:rPr>
          <w:rFonts w:hint="eastAsia" w:ascii="仿宋_GB2312" w:hAnsi="仿宋" w:eastAsia="仿宋_GB2312" w:cs="仿宋_GB2312"/>
          <w:b/>
          <w:bCs/>
          <w:i w:val="0"/>
          <w:iCs w:val="0"/>
          <w:caps w:val="0"/>
          <w:color w:val="auto"/>
          <w:spacing w:val="0"/>
          <w:kern w:val="0"/>
          <w:sz w:val="32"/>
          <w:szCs w:val="32"/>
          <w:bdr w:val="none" w:color="auto" w:sz="0" w:space="0"/>
          <w:shd w:val="clear" w:fill="FFFFFF"/>
          <w:lang w:val="en-US" w:eastAsia="zh-CN" w:bidi="ar"/>
        </w:rPr>
        <w:t>组织领导、监督检查</w:t>
      </w:r>
      <w:r>
        <w:rPr>
          <w:rFonts w:hint="eastAsia" w:ascii="仿宋_GB2312" w:hAnsi="微软雅黑" w:eastAsia="仿宋_GB2312" w:cs="仿宋_GB2312"/>
          <w:b/>
          <w:bCs/>
          <w:i w:val="0"/>
          <w:iCs w:val="0"/>
          <w:caps w:val="0"/>
          <w:color w:val="auto"/>
          <w:spacing w:val="0"/>
          <w:kern w:val="0"/>
          <w:sz w:val="32"/>
          <w:szCs w:val="32"/>
          <w:bdr w:val="none" w:color="auto" w:sz="0" w:space="0"/>
          <w:shd w:val="clear" w:fill="FFFFFF"/>
          <w:lang w:val="en-US" w:eastAsia="zh-CN" w:bidi="ar"/>
        </w:rPr>
        <w:t>。</w:t>
      </w:r>
      <w:r>
        <w:rPr>
          <w:rFonts w:hint="eastAsia" w:ascii="仿宋_GB2312" w:hAnsi="仿宋" w:eastAsia="仿宋_GB2312" w:cs="仿宋_GB2312"/>
          <w:i w:val="0"/>
          <w:iCs w:val="0"/>
          <w:caps w:val="0"/>
          <w:color w:val="auto"/>
          <w:spacing w:val="0"/>
          <w:kern w:val="0"/>
          <w:sz w:val="32"/>
          <w:szCs w:val="32"/>
          <w:shd w:val="clear" w:fill="FFFFFF"/>
          <w:lang w:val="en-US" w:eastAsia="zh-CN" w:bidi="ar"/>
        </w:rPr>
        <w:t>明确有专门机构、有主管领导、有专人负责政府信息公开工作。2023年8月15日，樟树市医疗保障局开展“聚焦满意医保 提升服务实效”的政府开放月活动，邀请人大代表、政协委员、医药机构代表、单位经办人代表、参保群众参与此次活动。鼓励群众积极参与政府信息公开的监督，确保政府信息及时准确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黑体" w:hAnsi="黑体" w:eastAsia="黑体" w:cs="黑体"/>
          <w:color w:val="auto"/>
          <w:lang w:val="en-US" w:eastAsia="zh-CN"/>
        </w:rPr>
      </w:pPr>
      <w:r>
        <w:rPr>
          <w:rFonts w:hint="eastAsia" w:ascii="黑体" w:hAnsi="黑体" w:eastAsia="黑体" w:cs="黑体"/>
          <w:color w:val="auto"/>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现行有效件数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sz w:val="20"/>
                <w:szCs w:val="20"/>
              </w:rPr>
            </w:pPr>
            <w:r>
              <w:rPr>
                <w:rFonts w:hint="eastAsia" w:ascii="宋体" w:hAnsi="宋体" w:eastAsia="宋体" w:cs="宋体"/>
                <w:color w:val="auto"/>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color w:val="auto"/>
                <w:sz w:val="20"/>
                <w:szCs w:val="20"/>
                <w:lang w:val="en-US" w:eastAsia="zh-CN"/>
              </w:rPr>
            </w:pPr>
            <w:r>
              <w:rPr>
                <w:rFonts w:hint="eastAsia"/>
                <w:color w:val="auto"/>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color w:val="auto"/>
                <w:sz w:val="20"/>
                <w:szCs w:val="20"/>
                <w:lang w:val="en-US" w:eastAsia="zh-CN"/>
              </w:rPr>
            </w:pPr>
            <w:r>
              <w:rPr>
                <w:rFonts w:hint="eastAsia"/>
                <w:color w:val="auto"/>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color w:val="auto"/>
                <w:sz w:val="20"/>
                <w:szCs w:val="20"/>
                <w:lang w:val="en-US" w:eastAsia="zh-CN"/>
              </w:rPr>
            </w:pPr>
            <w:r>
              <w:rPr>
                <w:rFonts w:hint="eastAsia"/>
                <w:color w:val="auto"/>
                <w:sz w:val="20"/>
                <w:szCs w:val="20"/>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sz w:val="20"/>
                <w:szCs w:val="20"/>
              </w:rPr>
            </w:pPr>
            <w:r>
              <w:rPr>
                <w:rFonts w:hint="eastAsia" w:ascii="宋体" w:hAnsi="宋体" w:eastAsia="宋体" w:cs="宋体"/>
                <w:color w:val="auto"/>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color w:val="auto"/>
                <w:sz w:val="20"/>
                <w:szCs w:val="20"/>
                <w:lang w:val="en-US" w:eastAsia="zh-CN"/>
              </w:rPr>
            </w:pPr>
            <w:r>
              <w:rPr>
                <w:rFonts w:hint="eastAsia"/>
                <w:color w:val="auto"/>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color w:val="auto"/>
                <w:sz w:val="20"/>
                <w:szCs w:val="20"/>
                <w:lang w:val="en-US" w:eastAsia="zh-CN"/>
              </w:rPr>
            </w:pPr>
            <w:r>
              <w:rPr>
                <w:rFonts w:hint="eastAsia"/>
                <w:color w:val="auto"/>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color w:val="auto"/>
                <w:sz w:val="20"/>
                <w:szCs w:val="20"/>
                <w:lang w:val="en-US" w:eastAsia="zh-CN"/>
              </w:rPr>
            </w:pPr>
            <w:r>
              <w:rPr>
                <w:rFonts w:hint="eastAsia"/>
                <w:color w:val="auto"/>
                <w:sz w:val="20"/>
                <w:szCs w:val="20"/>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color w:val="auto"/>
                <w:lang w:val="en-US"/>
              </w:rPr>
            </w:pPr>
            <w:r>
              <w:rPr>
                <w:rFonts w:hint="default" w:ascii="Calibri" w:hAnsi="Calibri" w:eastAsia="仿宋" w:cs="Calibri"/>
                <w:color w:val="auto"/>
                <w:kern w:val="0"/>
                <w:sz w:val="21"/>
                <w:szCs w:val="21"/>
                <w:lang w:val="en-US" w:eastAsia="zh-CN" w:bidi="ar"/>
              </w:rPr>
              <w:t> </w:t>
            </w:r>
            <w:r>
              <w:rPr>
                <w:rFonts w:hint="eastAsia" w:ascii="Calibri" w:hAnsi="Calibri" w:cs="Calibri"/>
                <w:color w:val="auto"/>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color w:val="auto"/>
                <w:sz w:val="20"/>
                <w:szCs w:val="20"/>
              </w:rPr>
            </w:pPr>
            <w:r>
              <w:rPr>
                <w:rFonts w:hint="eastAsia"/>
                <w:color w:val="auto"/>
                <w:sz w:val="20"/>
                <w:szCs w:val="20"/>
                <w:lang w:val="en-US" w:eastAsia="zh-CN"/>
              </w:rPr>
              <w:t>4</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color w:val="auto"/>
                <w:sz w:val="20"/>
                <w:szCs w:val="20"/>
              </w:rPr>
            </w:pPr>
            <w:r>
              <w:rPr>
                <w:rFonts w:hint="eastAsia"/>
                <w:color w:val="auto"/>
                <w:sz w:val="20"/>
                <w:szCs w:val="20"/>
                <w:lang w:val="en-US" w:eastAsia="zh-CN"/>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ascii="宋体" w:hAnsi="宋体" w:eastAsia="宋体" w:cs="宋体"/>
                <w:color w:val="auto"/>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z w:val="20"/>
                <w:szCs w:val="20"/>
              </w:rPr>
            </w:pPr>
            <w:r>
              <w:rPr>
                <w:rFonts w:hint="eastAsia" w:ascii="宋体" w:hAnsi="宋体" w:eastAsia="宋体" w:cs="宋体"/>
                <w:color w:val="auto"/>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color w:val="auto"/>
                <w:sz w:val="20"/>
                <w:szCs w:val="20"/>
                <w:lang w:val="en-US" w:eastAsia="zh-CN"/>
              </w:rPr>
            </w:pPr>
            <w:r>
              <w:rPr>
                <w:rFonts w:hint="eastAsia" w:ascii="宋体"/>
                <w:color w:val="auto"/>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黑体" w:hAnsi="黑体" w:eastAsia="黑体" w:cs="黑体"/>
          <w:color w:val="auto"/>
          <w:lang w:val="en-US" w:eastAsia="zh-CN"/>
        </w:rPr>
      </w:pPr>
      <w:r>
        <w:rPr>
          <w:rFonts w:hint="eastAsia" w:ascii="黑体" w:hAnsi="黑体" w:eastAsia="黑体" w:cs="黑体"/>
          <w:color w:val="auto"/>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ascii="楷体" w:hAnsi="楷体" w:eastAsia="楷体" w:cs="楷体"/>
                <w:color w:val="auto"/>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color w:val="auto"/>
              </w:rPr>
            </w:pPr>
            <w:r>
              <w:rPr>
                <w:rFonts w:hint="eastAsia" w:ascii="宋体" w:hAnsi="宋体" w:eastAsia="宋体" w:cs="宋体"/>
                <w:color w:val="auto"/>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（二）部分公开</w:t>
            </w:r>
            <w:r>
              <w:rPr>
                <w:rFonts w:hint="eastAsia" w:ascii="楷体" w:hAnsi="楷体" w:eastAsia="楷体" w:cs="楷体"/>
                <w:color w:val="auto"/>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color w:val="auto"/>
              </w:rPr>
            </w:pPr>
            <w:r>
              <w:rPr>
                <w:rFonts w:hint="eastAsia" w:ascii="宋体" w:hAnsi="宋体" w:eastAsia="宋体" w:cs="宋体"/>
                <w:color w:val="auto"/>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color w:val="auto"/>
              </w:rPr>
            </w:pPr>
            <w:r>
              <w:rPr>
                <w:rFonts w:hint="eastAsia" w:ascii="宋体" w:hAnsi="宋体" w:eastAsia="宋体" w:cs="宋体"/>
                <w:color w:val="auto"/>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color w:val="auto"/>
              </w:rPr>
            </w:pPr>
            <w:r>
              <w:rPr>
                <w:rFonts w:hint="eastAsia" w:ascii="宋体" w:hAnsi="宋体" w:eastAsia="宋体" w:cs="宋体"/>
                <w:color w:val="auto"/>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color w:val="auto"/>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color w:val="auto"/>
              </w:rPr>
            </w:pPr>
            <w:r>
              <w:rPr>
                <w:rFonts w:hint="eastAsia" w:ascii="宋体" w:hAnsi="宋体" w:eastAsia="宋体" w:cs="宋体"/>
                <w:color w:val="auto"/>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color w:val="auto"/>
                <w:sz w:val="22"/>
                <w:szCs w:val="22"/>
                <w:lang w:val="en-US" w:eastAsia="zh-CN"/>
              </w:rPr>
            </w:pPr>
            <w:r>
              <w:rPr>
                <w:rFonts w:hint="eastAsia" w:asciiTheme="majorEastAsia" w:hAnsiTheme="majorEastAsia" w:eastAsiaTheme="majorEastAsia" w:cstheme="majorEastAsia"/>
                <w:color w:val="auto"/>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default" w:ascii="仿宋" w:hAnsi="仿宋" w:eastAsia="仿宋_GB2312" w:cs="仿宋"/>
          <w:color w:val="auto"/>
          <w:highlight w:val="cyan"/>
          <w:lang w:val="en-US" w:eastAsia="zh-CN"/>
        </w:rPr>
      </w:pPr>
      <w:r>
        <w:rPr>
          <w:rFonts w:hint="eastAsia" w:ascii="黑体" w:hAnsi="黑体" w:eastAsia="黑体" w:cs="黑体"/>
          <w:color w:val="auto"/>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黑体" w:hAnsi="黑体" w:eastAsia="黑体" w:cs="黑体"/>
          <w:color w:val="auto"/>
          <w:lang w:val="en-US" w:eastAsia="zh-CN"/>
        </w:rPr>
      </w:pPr>
      <w:r>
        <w:rPr>
          <w:rFonts w:hint="eastAsia" w:ascii="黑体" w:hAnsi="黑体" w:eastAsia="黑体" w:cs="黑体"/>
          <w:color w:val="auto"/>
          <w:lang w:val="en-US" w:eastAsia="zh-CN"/>
        </w:rPr>
        <w:t>五、政府信息公开工作存在的主要问题及改进情况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29"/>
        <w:jc w:val="left"/>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2023年，我局政府信息公开工作取得一定成绩，但仍</w:t>
      </w:r>
      <w:r>
        <w:rPr>
          <w:rFonts w:hint="eastAsia" w:ascii="仿宋_GB2312" w:hAnsi="仿宋" w:eastAsia="仿宋_GB2312" w:cs="仿宋_GB2312"/>
          <w:i w:val="0"/>
          <w:iCs w:val="0"/>
          <w:caps w:val="0"/>
          <w:color w:val="auto"/>
          <w:spacing w:val="0"/>
          <w:kern w:val="0"/>
          <w:sz w:val="32"/>
          <w:szCs w:val="32"/>
          <w:shd w:val="clear" w:fill="FFFFFF"/>
          <w:lang w:val="en-US" w:eastAsia="zh-CN" w:bidi="ar"/>
        </w:rPr>
        <w:t>存</w:t>
      </w:r>
      <w:r>
        <w:rPr>
          <w:rFonts w:hint="default" w:ascii="仿宋_GB2312" w:hAnsi="仿宋" w:eastAsia="仿宋_GB2312" w:cs="仿宋_GB2312"/>
          <w:i w:val="0"/>
          <w:iCs w:val="0"/>
          <w:caps w:val="0"/>
          <w:color w:val="auto"/>
          <w:spacing w:val="0"/>
          <w:kern w:val="0"/>
          <w:sz w:val="32"/>
          <w:szCs w:val="32"/>
          <w:shd w:val="clear" w:fill="FFFFFF"/>
          <w:lang w:val="en-US" w:eastAsia="zh-CN" w:bidi="ar"/>
        </w:rPr>
        <w:t>在一些问题和不足。主要表现在：一是政府信息公开的内容还不够全面，丰富性有待提高；二是政策解读的方式创意性不足。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29"/>
        <w:jc w:val="left"/>
        <w:textAlignment w:val="auto"/>
        <w:rPr>
          <w:rFonts w:hint="default" w:ascii="仿宋_GB2312" w:hAnsi="仿宋" w:eastAsia="仿宋_GB2312" w:cs="仿宋_GB2312"/>
          <w:i w:val="0"/>
          <w:iCs w:val="0"/>
          <w:caps w:val="0"/>
          <w:color w:val="auto"/>
          <w:spacing w:val="0"/>
          <w:kern w:val="0"/>
          <w:sz w:val="32"/>
          <w:szCs w:val="32"/>
          <w:shd w:val="clear" w:fill="FFFFFF"/>
          <w:lang w:val="en-US" w:eastAsia="zh-CN" w:bidi="ar"/>
        </w:rPr>
      </w:pPr>
      <w:r>
        <w:rPr>
          <w:rFonts w:hint="default" w:ascii="仿宋_GB2312" w:hAnsi="仿宋" w:eastAsia="仿宋_GB2312" w:cs="仿宋_GB2312"/>
          <w:i w:val="0"/>
          <w:iCs w:val="0"/>
          <w:caps w:val="0"/>
          <w:color w:val="auto"/>
          <w:spacing w:val="0"/>
          <w:kern w:val="0"/>
          <w:sz w:val="32"/>
          <w:szCs w:val="32"/>
          <w:shd w:val="clear" w:fill="FFFFFF"/>
          <w:lang w:val="en-US" w:eastAsia="zh-CN" w:bidi="ar"/>
        </w:rPr>
        <w:t>2024年，我局将主要从以下几个方面进行改进：一是加大工作力度，更加全面及时主动公开政府信息，让公开成为自觉，让透明成为常态，有力促进法治政府、创新政府、廉洁政府和服务型政府建设，让人民群众增强对政府信息公开工作的满意度和获得感；二是</w:t>
      </w:r>
      <w:bookmarkStart w:id="0" w:name="_GoBack"/>
      <w:bookmarkEnd w:id="0"/>
      <w:r>
        <w:rPr>
          <w:rFonts w:hint="default" w:ascii="仿宋_GB2312" w:hAnsi="仿宋" w:eastAsia="仿宋_GB2312" w:cs="仿宋_GB2312"/>
          <w:i w:val="0"/>
          <w:iCs w:val="0"/>
          <w:caps w:val="0"/>
          <w:color w:val="auto"/>
          <w:spacing w:val="0"/>
          <w:kern w:val="0"/>
          <w:sz w:val="32"/>
          <w:szCs w:val="32"/>
          <w:shd w:val="clear" w:fill="FFFFFF"/>
          <w:lang w:val="en-US" w:eastAsia="zh-CN" w:bidi="ar"/>
        </w:rPr>
        <w:t>加强政策解读，进一步丰富解读形式，采取图表解读、音（视）频解读等多形式让百姓更便捷理解政策，增强政策传播力、影响力。</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黑体" w:hAnsi="黑体" w:eastAsia="黑体" w:cs="黑体"/>
          <w:color w:val="auto"/>
          <w:lang w:val="en-US" w:eastAsia="zh-CN"/>
        </w:rPr>
      </w:pPr>
      <w:r>
        <w:rPr>
          <w:rFonts w:hint="eastAsia" w:ascii="黑体" w:hAnsi="黑体" w:eastAsia="黑体" w:cs="黑体"/>
          <w:color w:val="auto"/>
          <w:lang w:val="en-US" w:eastAsia="zh-CN"/>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atLeast"/>
        <w:ind w:left="0" w:right="0" w:firstLine="629"/>
        <w:jc w:val="left"/>
        <w:textAlignment w:val="auto"/>
        <w:rPr>
          <w:rFonts w:hint="default" w:ascii="仿宋_GB2312" w:hAnsi="仿宋" w:eastAsia="仿宋_GB2312" w:cs="仿宋_GB2312"/>
          <w:i w:val="0"/>
          <w:iCs w:val="0"/>
          <w:caps w:val="0"/>
          <w:color w:val="000000"/>
          <w:spacing w:val="0"/>
          <w:kern w:val="0"/>
          <w:sz w:val="32"/>
          <w:szCs w:val="32"/>
          <w:shd w:val="clear" w:fill="FFFFFF"/>
          <w:lang w:val="en-US" w:eastAsia="zh-CN" w:bidi="ar"/>
        </w:rPr>
      </w:pPr>
      <w:r>
        <w:rPr>
          <w:rFonts w:hint="eastAsia" w:ascii="仿宋_GB2312" w:hAnsi="仿宋" w:eastAsia="仿宋_GB2312" w:cs="仿宋_GB2312"/>
          <w:i w:val="0"/>
          <w:iCs w:val="0"/>
          <w:caps w:val="0"/>
          <w:color w:val="auto"/>
          <w:spacing w:val="0"/>
          <w:kern w:val="0"/>
          <w:sz w:val="32"/>
          <w:szCs w:val="32"/>
          <w:shd w:val="clear" w:fill="FFFFFF"/>
          <w:lang w:val="en-US" w:eastAsia="zh-CN" w:bidi="ar"/>
        </w:rPr>
        <w:t>按照《国务院办公厅关于印发〈政府信息公开信息处理费管理办法〉的通知》（国办函〔2020〕109号）规定的按件、按量收费标准，本年度没有产生信息公开处理</w:t>
      </w:r>
      <w:r>
        <w:rPr>
          <w:rFonts w:hint="eastAsia" w:ascii="仿宋_GB2312" w:hAnsi="仿宋" w:eastAsia="仿宋_GB2312" w:cs="仿宋_GB2312"/>
          <w:i w:val="0"/>
          <w:iCs w:val="0"/>
          <w:caps w:val="0"/>
          <w:color w:val="000000"/>
          <w:spacing w:val="0"/>
          <w:kern w:val="0"/>
          <w:sz w:val="32"/>
          <w:szCs w:val="32"/>
          <w:shd w:val="clear" w:fill="FFFFFF"/>
          <w:lang w:val="en-US" w:eastAsia="zh-CN" w:bidi="ar"/>
        </w:rPr>
        <w:t>费。</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rlito">
    <w:altName w:val="Segoe Print"/>
    <w:panose1 w:val="00000000000000000000"/>
    <w:charset w:val="00"/>
    <w:family w:val="auto"/>
    <w:pitch w:val="default"/>
    <w:sig w:usb0="00000000" w:usb1="00000000" w:usb2="00000000" w:usb3="00000000" w:csb0="00000000" w:csb1="00000000"/>
  </w:font>
  <w:font w:name="SourceHanSerif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4NzIwYzlkOTAyYzUzYTMxOGRkMDM0YTg0YTQwOTgifQ=="/>
  </w:docVars>
  <w:rsids>
    <w:rsidRoot w:val="105A4352"/>
    <w:rsid w:val="003D13C1"/>
    <w:rsid w:val="07F4584C"/>
    <w:rsid w:val="0BED0BAC"/>
    <w:rsid w:val="0F6054BA"/>
    <w:rsid w:val="105A4352"/>
    <w:rsid w:val="11002822"/>
    <w:rsid w:val="11260F07"/>
    <w:rsid w:val="1BF945D4"/>
    <w:rsid w:val="206207B8"/>
    <w:rsid w:val="22AB4154"/>
    <w:rsid w:val="254F7E52"/>
    <w:rsid w:val="29936F22"/>
    <w:rsid w:val="29A63AF9"/>
    <w:rsid w:val="2C27513E"/>
    <w:rsid w:val="2F960EDF"/>
    <w:rsid w:val="37D50499"/>
    <w:rsid w:val="3A4D6E28"/>
    <w:rsid w:val="3D067FD6"/>
    <w:rsid w:val="4079646E"/>
    <w:rsid w:val="41605AC0"/>
    <w:rsid w:val="4A6C6248"/>
    <w:rsid w:val="4F136D0B"/>
    <w:rsid w:val="51771504"/>
    <w:rsid w:val="51C832C2"/>
    <w:rsid w:val="53BF3212"/>
    <w:rsid w:val="56761331"/>
    <w:rsid w:val="575F690E"/>
    <w:rsid w:val="63604736"/>
    <w:rsid w:val="6CD60491"/>
    <w:rsid w:val="6F657FD8"/>
    <w:rsid w:val="6F9150E9"/>
    <w:rsid w:val="71C051BF"/>
    <w:rsid w:val="75D02165"/>
    <w:rsid w:val="7778792F"/>
    <w:rsid w:val="77B07A0B"/>
    <w:rsid w:val="7803716E"/>
    <w:rsid w:val="7EE2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Text1I2"/>
    <w:basedOn w:val="1"/>
    <w:autoRedefine/>
    <w:qFormat/>
    <w:uiPriority w:val="0"/>
    <w:pPr>
      <w:spacing w:line="240" w:lineRule="auto"/>
      <w:ind w:left="420" w:leftChars="200" w:firstLine="210"/>
      <w:jc w:val="both"/>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4</TotalTime>
  <ScaleCrop>false</ScaleCrop>
  <LinksUpToDate>false</LinksUpToDate>
  <CharactersWithSpaces>2807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微信用户</cp:lastModifiedBy>
  <dcterms:modified xsi:type="dcterms:W3CDTF">2024-01-18T07:23:00Z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8BD60615CC7348E7B46781C2C5D51C08_13</vt:lpwstr>
  </property>
</Properties>
</file>